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SPECIAL RESOLUTION OF THE MEMBERS</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special resolution requires that the notice specifying the intention to propose it has been duly given, and that the votes cast in favour are not less than three times the votes cast against. The resolution as passed must be word for word the resolution set out in the notice. Most special resolutions must be filed with the Registrar within the period prescribed.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General Meeting / Extraordinary General Meeting]</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Day, date and time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r>
              <w:rPr>
                <w:rFonts w:ascii="Calibri" w:cs="Calibri" w:eastAsia="Calibri" w:hAnsi="Calibri"/>
                <w:b/>
                <w:bCs/>
                <w:sz w:val="19"/>
                <w:szCs w:val="19"/>
              </w:rPr>
              <w:t xml:space="preserve">, </w:t>
            </w:r>
            <w:r>
              <w:rPr>
                <w:rFonts w:ascii="Calibri" w:cs="Calibri" w:eastAsia="Calibri" w:hAnsi="Calibri"/>
                <w:b/>
                <w:bCs/>
                <w:sz w:val="19"/>
                <w:szCs w:val="19"/>
              </w:rPr>
              <w:t xml:space="preserve">[DATE]</w:t>
            </w:r>
            <w:r>
              <w:rPr>
                <w:rFonts w:ascii="Calibri" w:cs="Calibri" w:eastAsia="Calibri" w:hAnsi="Calibri"/>
                <w:sz w:val="19"/>
                <w:szCs w:val="19"/>
              </w:rPr>
              <w:t xml:space="preserve"> at </w:t>
            </w:r>
            <w:r>
              <w:rPr>
                <w:rFonts w:ascii="Calibri" w:cs="Calibri" w:eastAsia="Calibri" w:hAnsi="Calibri"/>
                <w:b/>
                <w:bCs/>
                <w:sz w:val="19"/>
                <w:szCs w:val="19"/>
              </w:rPr>
              <w:t xml:space="preserve">[TIME]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Venue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 held through video conferencing, the deemed venue being the registered office]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dated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despatched on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 of the meeting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Subject of the resolution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IN ONE LINE]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Filing required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to be filed with the Registrar in the prescribed form within the period prescribed / NO]</w:t>
            </w:r>
          </w:p>
        </w:tc>
      </w:tr>
    </w:tbl>
    <w:p>
      <w:pPr>
        <w:spacing w:after="180"/>
      </w:pPr>
    </w:p>
    <w:p>
      <w:pPr>
        <w:keepNext/>
        <w:spacing w:after="120" w:before="280"/>
        <w:outlineLvl w:val="0"/>
      </w:pPr>
      <w:r>
        <w:rPr>
          <w:rFonts w:ascii="Calibri" w:cs="Calibri" w:eastAsia="Calibri" w:hAnsi="Calibri"/>
          <w:b/>
          <w:bCs/>
          <w:color w:val="14161B"/>
          <w:sz w:val="22"/>
          <w:szCs w:val="22"/>
        </w:rPr>
        <w:t xml:space="preserve">ATTENDANCE AND VOTING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1542"/>
        <w:gridCol w:w="1927"/>
        <w:gridCol w:w="1929"/>
      </w:tblGrid>
      <w:tr>
        <w:trPr>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 held</w:t>
            </w:r>
          </w:p>
        </w:tc>
        <w:tc>
          <w:tcPr>
            <w:tcW w:type="dxa" w:w="192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of total voting rights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members entitled to vote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100.00%</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present in person</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present by proxy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present by authorised representative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present — quorum</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Votes cast in favour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Votes cast against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Abstentions</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 of votes for to votes against</w:t>
            </w:r>
          </w:p>
        </w:tc>
        <w:tc>
          <w:tcPr>
            <w:tcW w:type="dxa" w:w="1542"/>
            <w:tcMar>
              <w:top w:type="dxa" w:w="70"/>
              <w:left w:type="dxa" w:w="100"/>
              <w:bottom w:type="dxa" w:w="70"/>
              <w:right w:type="dxa" w:w="100"/>
            </w:tcMar>
            <w:vAlign w:val="center"/>
          </w:tcPr>
          <w:p>
            <w:pPr>
              <w:spacing w:after="0" w:line="240"/>
              <w:jc w:val="right"/>
            </w:pPr>
          </w:p>
        </w:tc>
        <w:tc>
          <w:tcPr>
            <w:tcW w:type="dxa" w:w="1927"/>
            <w:tcMar>
              <w:top w:type="dxa" w:w="70"/>
              <w:left w:type="dxa" w:w="100"/>
              <w:bottom w:type="dxa" w:w="70"/>
              <w:right w:type="dxa" w:w="100"/>
            </w:tcMar>
            <w:vAlign w:val="center"/>
          </w:tcPr>
          <w:p>
            <w:pPr>
              <w:spacing w:after="0" w:line="240"/>
              <w:jc w:val="right"/>
            </w:pP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[X]</w:t>
            </w:r>
            <w:r>
              <w:rPr>
                <w:rFonts w:ascii="Calibri" w:cs="Calibri" w:eastAsia="Calibri" w:hAnsi="Calibri"/>
                <w:b/>
                <w:bCs/>
                <w:sz w:val="19"/>
                <w:szCs w:val="19"/>
              </w:rPr>
              <w:t xml:space="preserve"> : 1</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Result</w:t>
            </w:r>
          </w:p>
        </w:tc>
        <w:tc>
          <w:tcPr>
            <w:tcW w:type="dxa" w:w="1542"/>
            <w:tcMar>
              <w:top w:type="dxa" w:w="70"/>
              <w:left w:type="dxa" w:w="100"/>
              <w:bottom w:type="dxa" w:w="70"/>
              <w:right w:type="dxa" w:w="100"/>
            </w:tcMar>
            <w:vAlign w:val="center"/>
          </w:tcPr>
          <w:p>
            <w:pPr>
              <w:spacing w:after="0" w:line="240"/>
              <w:jc w:val="right"/>
            </w:pPr>
          </w:p>
        </w:tc>
        <w:tc>
          <w:tcPr>
            <w:tcW w:type="dxa" w:w="1927"/>
            <w:tcMar>
              <w:top w:type="dxa" w:w="70"/>
              <w:left w:type="dxa" w:w="100"/>
              <w:bottom w:type="dxa" w:w="70"/>
              <w:right w:type="dxa" w:w="100"/>
            </w:tcMar>
            <w:vAlign w:val="center"/>
          </w:tcPr>
          <w:p>
            <w:pPr>
              <w:spacing w:after="0" w:line="240"/>
              <w:jc w:val="right"/>
            </w:pP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[Carried as a Special Resolution / Not carried]</w:t>
            </w:r>
          </w:p>
        </w:tc>
      </w:tr>
    </w:tbl>
    <w:p>
      <w:pPr>
        <w:spacing w:after="180"/>
      </w:pPr>
    </w:p>
    <w:p>
      <w:pPr>
        <w:keepNext/>
        <w:spacing w:after="120" w:before="280"/>
        <w:outlineLvl w:val="0"/>
      </w:pPr>
      <w:r>
        <w:rPr>
          <w:rFonts w:ascii="Calibri" w:cs="Calibri" w:eastAsia="Calibri" w:hAnsi="Calibri"/>
          <w:b/>
          <w:bCs/>
          <w:color w:val="14161B"/>
          <w:sz w:val="22"/>
          <w:szCs w:val="22"/>
        </w:rPr>
        <w:t xml:space="preserve">THE RESOLUTION</w:t>
      </w:r>
    </w:p>
    <w:p>
      <w:pPr>
        <w:spacing w:after="140" w:before="0" w:line="276"/>
        <w:jc w:val="both"/>
      </w:pPr>
      <w:r>
        <w:rPr>
          <w:rFonts w:ascii="Calibri" w:cs="Calibri" w:eastAsia="Calibri" w:hAnsi="Calibri"/>
          <w:sz w:val="21"/>
          <w:szCs w:val="21"/>
        </w:rPr>
        <w:t xml:space="preserve">The Chairperson placed the following resolution before the meeting. The Chairperson confirmed that the notice specifying the intention to propose the resolution as a special resolution had been duly given to all members, directors and auditors entitled to receive it, and that the explanatory statement setting out the material facts had been annexed to that notice.</w:t>
      </w:r>
    </w:p>
    <w:p>
      <w:pPr>
        <w:spacing w:after="140" w:before="0" w:line="276"/>
        <w:jc w:val="both"/>
      </w:pPr>
      <w:r>
        <w:rPr>
          <w:rFonts w:ascii="Calibri" w:cs="Calibri" w:eastAsia="Calibri" w:hAnsi="Calibri"/>
          <w:b/>
          <w:bCs/>
          <w:sz w:val="21"/>
          <w:szCs w:val="21"/>
        </w:rPr>
        <w:t xml:space="preserve">"RESOLVED AS A SPECIAL RESOLUTION THAT</w:t>
      </w:r>
      <w:r>
        <w:rPr>
          <w:rFonts w:ascii="Calibri" w:cs="Calibri" w:eastAsia="Calibri" w:hAnsi="Calibri"/>
          <w:sz w:val="21"/>
          <w:szCs w:val="21"/>
        </w:rPr>
        <w:t xml:space="preserve"> pursuant to the provisions of </w:t>
      </w:r>
      <w:r>
        <w:rPr>
          <w:rFonts w:ascii="Calibri" w:cs="Calibri" w:eastAsia="Calibri" w:hAnsi="Calibri"/>
          <w:b/>
          <w:bCs/>
          <w:sz w:val="21"/>
          <w:szCs w:val="21"/>
        </w:rPr>
        <w:t xml:space="preserve">[Section ______ and all other applicable provisions]</w:t>
      </w:r>
      <w:r>
        <w:rPr>
          <w:rFonts w:ascii="Calibri" w:cs="Calibri" w:eastAsia="Calibri" w:hAnsi="Calibri"/>
          <w:sz w:val="21"/>
          <w:szCs w:val="21"/>
        </w:rPr>
        <w:t xml:space="preserve"> of the Companies Act, 2013 and the rules made thereunder, </w:t>
      </w:r>
      <w:r>
        <w:rPr>
          <w:rFonts w:ascii="Calibri" w:cs="Calibri" w:eastAsia="Calibri" w:hAnsi="Calibri"/>
          <w:b/>
          <w:bCs/>
          <w:sz w:val="21"/>
          <w:szCs w:val="21"/>
        </w:rPr>
        <w:t xml:space="preserve">[and the articles of association of the Company,]</w:t>
      </w:r>
      <w:r>
        <w:rPr>
          <w:rFonts w:ascii="Calibri" w:cs="Calibri" w:eastAsia="Calibri" w:hAnsi="Calibri"/>
          <w:sz w:val="21"/>
          <w:szCs w:val="21"/>
        </w:rPr>
        <w:t xml:space="preserve"> and subject to such approvals as may be required, </w:t>
      </w:r>
      <w:r>
        <w:rPr>
          <w:rFonts w:ascii="Calibri" w:cs="Calibri" w:eastAsia="Calibri" w:hAnsi="Calibri"/>
          <w:b/>
          <w:bCs/>
          <w:sz w:val="21"/>
          <w:szCs w:val="21"/>
        </w:rPr>
        <w:t xml:space="preserve">[SET OUT THE FULL OPERATIVE TEXT OF THE RESOLUTION. It must be identical, word for word, to the text set out in the notice of the meeting.]</w:t>
      </w:r>
    </w:p>
    <w:p>
      <w:pPr>
        <w:spacing w:after="16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of Directors of the Company be and is hereby authorised to do all such acts, deeds, matters and things, to execute all such documents, instruments and writings, to settle any question, difficulty or doubt that may arise in this regard, and to delegate all or any of the powers conferred by this resolution to any director, committee or officer of the Company, as may be necessary or expedient to give effect to this resolution."</w:t>
      </w:r>
    </w:p>
    <w:p>
      <w:pPr>
        <w:spacing w:after="220" w:before="0" w:line="276"/>
        <w:jc w:val="both"/>
      </w:pPr>
      <w:r>
        <w:rPr>
          <w:rFonts w:ascii="Calibri" w:cs="Calibri" w:eastAsia="Calibri" w:hAnsi="Calibri"/>
          <w:sz w:val="21"/>
          <w:szCs w:val="21"/>
        </w:rPr>
        <w:t xml:space="preserve">The Chairperson invited questions from the members. </w:t>
      </w:r>
      <w:r>
        <w:rPr>
          <w:rFonts w:ascii="Calibri" w:cs="Calibri" w:eastAsia="Calibri" w:hAnsi="Calibri"/>
          <w:b/>
          <w:bCs/>
          <w:sz w:val="21"/>
          <w:szCs w:val="21"/>
        </w:rPr>
        <w:t xml:space="preserve">[The queries raised were answered to the satisfaction of the members. / No questions were raised.]</w:t>
      </w:r>
      <w:r>
        <w:rPr>
          <w:rFonts w:ascii="Calibri" w:cs="Calibri" w:eastAsia="Calibri" w:hAnsi="Calibri"/>
          <w:sz w:val="21"/>
          <w:szCs w:val="21"/>
        </w:rPr>
        <w:t xml:space="preserve"> The resolution was put to vote </w:t>
      </w:r>
      <w:r>
        <w:rPr>
          <w:rFonts w:ascii="Calibri" w:cs="Calibri" w:eastAsia="Calibri" w:hAnsi="Calibri"/>
          <w:b/>
          <w:bCs/>
          <w:sz w:val="21"/>
          <w:szCs w:val="21"/>
        </w:rPr>
        <w:t xml:space="preserve">[by a show of hands / on a poll demanded by ______ / by electronic voting]</w:t>
      </w:r>
      <w:r>
        <w:rPr>
          <w:rFonts w:ascii="Calibri" w:cs="Calibri" w:eastAsia="Calibri" w:hAnsi="Calibri"/>
          <w:sz w:val="21"/>
          <w:szCs w:val="21"/>
        </w:rPr>
        <w:t xml:space="preserve">, and on the basis of the result recorded above, the Chairperson declared the resolution </w:t>
      </w:r>
      <w:r>
        <w:rPr>
          <w:rFonts w:ascii="Calibri" w:cs="Calibri" w:eastAsia="Calibri" w:hAnsi="Calibri"/>
          <w:b/>
          <w:bCs/>
          <w:sz w:val="21"/>
          <w:szCs w:val="21"/>
        </w:rPr>
        <w:t xml:space="preserve">[carried as a Special Resolution / not carried]</w:t>
      </w:r>
      <w:r>
        <w:rPr>
          <w:rFonts w:ascii="Calibri" w:cs="Calibri" w:eastAsia="Calibri" w:hAnsi="Calibri"/>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special resolution passed at the meeting referred to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[Chairperson of the meeting / 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EXPLANATORY STATEMENT</w:t>
      </w:r>
    </w:p>
    <w:p>
      <w:pPr>
        <w:spacing w:after="260"/>
        <w:jc w:val="center"/>
      </w:pPr>
      <w:r>
        <w:rPr>
          <w:rFonts w:ascii="Calibri" w:cs="Calibri" w:eastAsia="Calibri" w:hAnsi="Calibri"/>
          <w:i/>
          <w:iCs/>
          <w:color w:val="6E7480"/>
          <w:sz w:val="19"/>
          <w:szCs w:val="19"/>
        </w:rPr>
        <w:t xml:space="preserve">Annexed to the notice of the meeting</w:t>
      </w:r>
    </w:p>
    <w:p>
      <w:pPr>
        <w:spacing w:after="160" w:before="0" w:line="276"/>
        <w:jc w:val="both"/>
      </w:pPr>
      <w:r>
        <w:rPr>
          <w:rFonts w:ascii="Calibri" w:cs="Calibri" w:eastAsia="Calibri" w:hAnsi="Calibri"/>
          <w:i/>
          <w:iCs/>
          <w:sz w:val="21"/>
          <w:szCs w:val="21"/>
        </w:rPr>
        <w:t xml:space="preserve">Reproduce here the explanatory statement that was annexed to the notice. It must set out all material facts concerning the item and the interest of every director, key managerial person and their relatives.</w:t>
      </w:r>
    </w:p>
    <w:p>
      <w:pPr>
        <w:spacing w:after="140" w:before="0" w:line="276"/>
        <w:jc w:val="both"/>
      </w:pPr>
      <w:r>
        <w:rPr>
          <w:rFonts w:ascii="Calibri" w:cs="Calibri" w:eastAsia="Calibri" w:hAnsi="Calibri"/>
          <w:b/>
          <w:bCs/>
          <w:sz w:val="21"/>
          <w:szCs w:val="21"/>
        </w:rPr>
        <w:t xml:space="preserve">[MATERIAL FACTS — what is proposed, the reason for it, the effect on the Company and on the members, the terms and conditions, and any approval to which it is subject.]</w:t>
      </w:r>
    </w:p>
    <w:p>
      <w:pPr>
        <w:spacing w:after="140" w:before="0" w:line="276"/>
        <w:jc w:val="both"/>
      </w:pPr>
      <w:r>
        <w:rPr>
          <w:rFonts w:ascii="Calibri" w:cs="Calibri" w:eastAsia="Calibri" w:hAnsi="Calibri"/>
          <w:b/>
          <w:bCs/>
          <w:sz w:val="21"/>
          <w:szCs w:val="21"/>
        </w:rPr>
        <w:t xml:space="preserve">[Where the resolution concerns an issue of securities, state the objects of the issue, the total number and class of securities, the price and the basis on which it was arrived at, the identity of the proposed allottees and the change in control if any, the percentage of post-issue capital held by the allottees, and the relevant date.]</w:t>
      </w:r>
    </w:p>
    <w:p>
      <w:pPr>
        <w:spacing w:after="140" w:before="0" w:line="276"/>
        <w:jc w:val="both"/>
      </w:pPr>
      <w:r>
        <w:rPr>
          <w:rFonts w:ascii="Calibri" w:cs="Calibri" w:eastAsia="Calibri" w:hAnsi="Calibri"/>
          <w:b/>
          <w:bCs/>
          <w:sz w:val="21"/>
          <w:szCs w:val="21"/>
        </w:rPr>
        <w:t xml:space="preserve">[Where the resolution concerns an appointment or remuneration, state the qualifications and experience of the person, the terms and conditions, the remuneration proposed and the comparative remuneration profile, and the relationship of that person with the Company and its managerial personnel.]</w:t>
      </w:r>
    </w:p>
    <w:p>
      <w:pPr>
        <w:spacing w:after="140" w:before="0" w:line="276"/>
        <w:jc w:val="both"/>
      </w:pPr>
      <w:r>
        <w:rPr>
          <w:rFonts w:ascii="Calibri" w:cs="Calibri" w:eastAsia="Calibri" w:hAnsi="Calibri"/>
          <w:b/>
          <w:bCs/>
          <w:sz w:val="21"/>
          <w:szCs w:val="21"/>
        </w:rPr>
        <w:t xml:space="preserve">Interest of directors and key managerial personnel.</w:t>
      </w:r>
      <w:r>
        <w:rPr>
          <w:rFonts w:ascii="Calibri" w:cs="Calibri" w:eastAsia="Calibri" w:hAnsi="Calibri"/>
          <w:sz w:val="21"/>
          <w:szCs w:val="21"/>
        </w:rPr>
        <w:t xml:space="preserve"> </w:t>
      </w:r>
      <w:r>
        <w:rPr>
          <w:rFonts w:ascii="Calibri" w:cs="Calibri" w:eastAsia="Calibri" w:hAnsi="Calibri"/>
          <w:b/>
          <w:bCs/>
          <w:sz w:val="21"/>
          <w:szCs w:val="21"/>
        </w:rPr>
        <w:t xml:space="preserve">[STATE for each director, key managerial person and their relatives whether and to what extent that person is concerned or interested, financially or otherwise. Where none is interested, state so expressly.]</w:t>
      </w:r>
    </w:p>
    <w:p>
      <w:pPr>
        <w:spacing w:after="200" w:before="0" w:line="276"/>
        <w:jc w:val="both"/>
      </w:pPr>
      <w:r>
        <w:rPr>
          <w:rFonts w:ascii="Calibri" w:cs="Calibri" w:eastAsia="Calibri" w:hAnsi="Calibri"/>
          <w:b/>
          <w:bCs/>
          <w:sz w:val="21"/>
          <w:szCs w:val="21"/>
        </w:rPr>
        <w:t xml:space="preserve">The Board recommends the resolution for the approval of the members as a Special Resolution.</w:t>
      </w:r>
    </w:p>
    <w:p>
      <w:pPr>
        <w:spacing w:after="240" w:before="240"/>
        <w:jc w:val="center"/>
      </w:pPr>
      <w:r>
        <w:rPr>
          <w:rFonts w:ascii="Calibri" w:cs="Calibri" w:eastAsia="Calibri" w:hAnsi="Calibri"/>
          <w:b/>
          <w:bCs/>
          <w:color w:val="14161B"/>
          <w:spacing w:val="12"/>
          <w:sz w:val="28"/>
          <w:szCs w:val="28"/>
        </w:rPr>
        <w:t xml:space="preserve">FILING AND FOLLOW-THROUGH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2409"/>
        <w:gridCol w:w="115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11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convening the general meeting and approving the notice and explanatory statement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notice is issued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with explanatory statement despatched to all members, directors and auditors, with proof of despatch retained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Clear notice period before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to shorter notice obtained from the prescribed proportion of members, where applicable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Attendance register, proxy forms and authorised representative resolutions collected and verified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Scrutineer appointed and scrutineer’s report obtained, where a poll or electronic voting is used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and after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Result declared by the Chairperson and recorded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Minutes of the general meeting entered in the general meeting minute book and signed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filed with the Registrar in the prescribed form, with the notice and explanatory statement attached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 from passing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Consequential filings made — amended articles, return of allotment, particulars of appointment, as applicable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respective periods</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Statutory registers and the capitalisation table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the resolution taking effect</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copies furnished to banks, lenders, counterparties and regulators requiring them</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required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required, approvals of other authorities obtained before the resolution is acted on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implementation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What makes a resolution special</w:t>
      </w:r>
    </w:p>
    <w:p>
      <w:pPr>
        <w:spacing w:after="60" w:line="264"/>
        <w:jc w:val="both"/>
      </w:pPr>
      <w:r>
        <w:rPr>
          <w:rFonts w:ascii="Calibri" w:cs="Calibri" w:eastAsia="Calibri" w:hAnsi="Calibri"/>
          <w:sz w:val="19"/>
          <w:szCs w:val="19"/>
        </w:rPr>
        <w:t xml:space="preserve">Three requirements must all be met: the notice must have specified the intention to propose the resolution as a special resolution, the notice must have been duly given, and the votes cast in favour must be not less than three times the votes cast against. Abstentions are not votes against. A resolution described as special in the minutes but proposed without the required notice is not a special resolution, whatever the voting margin.</w:t>
      </w:r>
    </w:p>
    <w:p>
      <w:pPr>
        <w:keepNext/>
        <w:spacing w:after="40" w:before="140"/>
      </w:pPr>
      <w:r>
        <w:rPr>
          <w:rFonts w:ascii="Calibri" w:cs="Calibri" w:eastAsia="Calibri" w:hAnsi="Calibri"/>
          <w:b/>
          <w:bCs/>
          <w:color w:val="14161B"/>
          <w:sz w:val="20"/>
          <w:szCs w:val="20"/>
        </w:rPr>
        <w:t xml:space="preserve">The text may not change at the meeting</w:t>
      </w:r>
    </w:p>
    <w:p>
      <w:pPr>
        <w:spacing w:after="60" w:line="264"/>
        <w:jc w:val="both"/>
      </w:pPr>
      <w:r>
        <w:rPr>
          <w:rFonts w:ascii="Calibri" w:cs="Calibri" w:eastAsia="Calibri" w:hAnsi="Calibri"/>
          <w:sz w:val="19"/>
          <w:szCs w:val="19"/>
        </w:rPr>
        <w:t xml:space="preserve">The resolution passed must be identical to the text circulated with the notice. Members who chose not to attend did so on the basis of that text. A material amendment at the meeting invalidates the resolution, and a resolution amended and then filed with the Registrar in its amended form creates a discrepancy between the notice and the filing that is visible on the public record.</w:t>
      </w:r>
    </w:p>
    <w:p>
      <w:pPr>
        <w:keepNext/>
        <w:spacing w:after="40" w:before="140"/>
      </w:pPr>
      <w:r>
        <w:rPr>
          <w:rFonts w:ascii="Calibri" w:cs="Calibri" w:eastAsia="Calibri" w:hAnsi="Calibri"/>
          <w:b/>
          <w:bCs/>
          <w:color w:val="14161B"/>
          <w:sz w:val="20"/>
          <w:szCs w:val="20"/>
        </w:rPr>
        <w:t xml:space="preserve">Common matters requiring a special resolution</w:t>
      </w:r>
    </w:p>
    <w:p>
      <w:pPr>
        <w:spacing w:after="60" w:line="264"/>
        <w:jc w:val="both"/>
      </w:pPr>
      <w:r>
        <w:rPr>
          <w:rFonts w:ascii="Calibri" w:cs="Calibri" w:eastAsia="Calibri" w:hAnsi="Calibri"/>
          <w:sz w:val="19"/>
          <w:szCs w:val="19"/>
        </w:rPr>
        <w:t xml:space="preserve">Amendment of the memorandum or articles, change of name, change of registered office from one State to another, alteration of the objects, issue of securities on a preferential basis or by private placement, issue of sweat equity, buy-back within the prescribed limits, reduction of capital, borrowing beyond the prescribed threshold, giving loans or guarantees beyond the prescribed limits, voluntary winding up, and conversion of a private company into a public company or the reverse, among others. Confirm the requirement for the specific matter before drafting — an ordinary resolution where a special resolution was needed is not curable by a later filing.</w:t>
      </w:r>
    </w:p>
    <w:p>
      <w:pPr>
        <w:keepNext/>
        <w:spacing w:after="40" w:before="140"/>
      </w:pPr>
      <w:r>
        <w:rPr>
          <w:rFonts w:ascii="Calibri" w:cs="Calibri" w:eastAsia="Calibri" w:hAnsi="Calibri"/>
          <w:b/>
          <w:bCs/>
          <w:color w:val="14161B"/>
          <w:sz w:val="20"/>
          <w:szCs w:val="20"/>
        </w:rPr>
        <w:t xml:space="preserve">File it, and file it on time</w:t>
      </w:r>
    </w:p>
    <w:p>
      <w:pPr>
        <w:spacing w:after="60" w:line="264"/>
        <w:jc w:val="both"/>
      </w:pPr>
      <w:r>
        <w:rPr>
          <w:rFonts w:ascii="Calibri" w:cs="Calibri" w:eastAsia="Calibri" w:hAnsi="Calibri"/>
          <w:sz w:val="19"/>
          <w:szCs w:val="19"/>
        </w:rPr>
        <w:t xml:space="preserve">Most special resolutions must be filed with the Registrar in the prescribed form within the period prescribed, together with the notice and the explanatory statement. Where the resolution authorises something — an allotment, an amendment to the articles, a borrowing — the underlying action is vulnerable until the filing is made. Late filing attracts additional fees; non-filing is discovered in the next diligence and delays it.</w:t>
      </w:r>
    </w:p>
    <w:p>
      <w:pPr>
        <w:keepNext/>
        <w:spacing w:after="40" w:before="140"/>
      </w:pPr>
      <w:r>
        <w:rPr>
          <w:rFonts w:ascii="Calibri" w:cs="Calibri" w:eastAsia="Calibri" w:hAnsi="Calibri"/>
          <w:b/>
          <w:bCs/>
          <w:color w:val="14161B"/>
          <w:sz w:val="20"/>
          <w:szCs w:val="20"/>
        </w:rPr>
        <w:t xml:space="preserve">The explanatory statement is part of the notice</w:t>
      </w:r>
    </w:p>
    <w:p>
      <w:pPr>
        <w:spacing w:after="60" w:line="264"/>
        <w:jc w:val="both"/>
      </w:pPr>
      <w:r>
        <w:rPr>
          <w:rFonts w:ascii="Calibri" w:cs="Calibri" w:eastAsia="Calibri" w:hAnsi="Calibri"/>
          <w:sz w:val="19"/>
          <w:szCs w:val="19"/>
        </w:rPr>
        <w:t xml:space="preserve">It must be annexed to the notice, not produced afterwards, and it must set out all material facts and the interest of every director, key managerial person and their relatives. Where the resolution concerns an issue of securities or an appointment, additional specific particulars are required. A resolution supported by a thin or generic explanatory statement is open to challenge on the ground that members were not properly informed.</w:t>
      </w:r>
    </w:p>
    <w:p>
      <w:pPr>
        <w:keepNext/>
        <w:spacing w:after="40" w:before="140"/>
      </w:pPr>
      <w:r>
        <w:rPr>
          <w:rFonts w:ascii="Calibri" w:cs="Calibri" w:eastAsia="Calibri" w:hAnsi="Calibri"/>
          <w:b/>
          <w:bCs/>
          <w:color w:val="14161B"/>
          <w:sz w:val="20"/>
          <w:szCs w:val="20"/>
        </w:rPr>
        <w:t xml:space="preserve">Poll, show of hands, and electronic voting</w:t>
      </w:r>
    </w:p>
    <w:p>
      <w:pPr>
        <w:spacing w:after="60" w:line="264"/>
        <w:jc w:val="both"/>
      </w:pPr>
      <w:r>
        <w:rPr>
          <w:rFonts w:ascii="Calibri" w:cs="Calibri" w:eastAsia="Calibri" w:hAnsi="Calibri"/>
          <w:sz w:val="19"/>
          <w:szCs w:val="19"/>
        </w:rPr>
        <w:t xml:space="preserve">A show of hands counts members, not shares, which is rarely what the parties intend where shareholdings are unequal. A poll counts votes by shareholding and may be demanded by members holding the prescribed proportion. Where the Company is required to provide electronic voting, voting at the meeting must be conducted consistently with it and a scrutineer’s report is required. Decide the voting method before the meeting, not during it.</w:t>
      </w:r>
    </w:p>
    <w:p>
      <w:pPr>
        <w:keepNext/>
        <w:spacing w:after="40" w:before="140"/>
      </w:pPr>
      <w:r>
        <w:rPr>
          <w:rFonts w:ascii="Calibri" w:cs="Calibri" w:eastAsia="Calibri" w:hAnsi="Calibri"/>
          <w:b/>
          <w:bCs/>
          <w:color w:val="14161B"/>
          <w:sz w:val="20"/>
          <w:szCs w:val="20"/>
        </w:rPr>
        <w:t xml:space="preserve">Keep the scrutineer’s report</w:t>
      </w:r>
    </w:p>
    <w:p>
      <w:pPr>
        <w:spacing w:after="60" w:line="264"/>
        <w:jc w:val="both"/>
      </w:pPr>
      <w:r>
        <w:rPr>
          <w:rFonts w:ascii="Calibri" w:cs="Calibri" w:eastAsia="Calibri" w:hAnsi="Calibri"/>
          <w:sz w:val="19"/>
          <w:szCs w:val="19"/>
        </w:rPr>
        <w:t xml:space="preserve">Where a poll or electronic voting is used, the scrutineer’s report is the evidence of the result and should be retained with the minutes and, where required, filed. The attendance register, proxy forms and poll papers should be retained for the period prescribed.</w:t>
      </w:r>
    </w:p>
    <w:p>
      <w:pPr>
        <w:keepNext/>
        <w:spacing w:after="40" w:before="140"/>
      </w:pPr>
      <w:r>
        <w:rPr>
          <w:rFonts w:ascii="Calibri" w:cs="Calibri" w:eastAsia="Calibri" w:hAnsi="Calibri"/>
          <w:b/>
          <w:bCs/>
          <w:color w:val="14161B"/>
          <w:sz w:val="20"/>
          <w:szCs w:val="20"/>
        </w:rPr>
        <w:t xml:space="preserve">Resolutions by postal ballot</w:t>
      </w:r>
    </w:p>
    <w:p>
      <w:pPr>
        <w:spacing w:after="60" w:line="264"/>
        <w:jc w:val="both"/>
      </w:pPr>
      <w:r>
        <w:rPr>
          <w:rFonts w:ascii="Calibri" w:cs="Calibri" w:eastAsia="Calibri" w:hAnsi="Calibri"/>
          <w:sz w:val="19"/>
          <w:szCs w:val="19"/>
        </w:rPr>
        <w:t xml:space="preserve">Certain items may or must be transacted by postal ballot rather than at a meeting, and the procedure differs — notice, the period during which the ballot remains open, the scrutineer, and the declaration of the result. Where postal ballot is used, this template is not the right form; use the postal ballot procedure and its own documentation.</w:t>
      </w:r>
    </w:p>
    <w:p>
      <w:pPr>
        <w:keepNext/>
        <w:spacing w:after="40" w:before="140"/>
      </w:pPr>
      <w:r>
        <w:rPr>
          <w:rFonts w:ascii="Calibri" w:cs="Calibri" w:eastAsia="Calibri" w:hAnsi="Calibri"/>
          <w:b/>
          <w:bCs/>
          <w:color w:val="14161B"/>
          <w:sz w:val="20"/>
          <w:szCs w:val="20"/>
        </w:rPr>
        <w:t xml:space="preserve">Approval is not implementation</w:t>
      </w:r>
    </w:p>
    <w:p>
      <w:pPr>
        <w:spacing w:after="60" w:line="264"/>
        <w:jc w:val="both"/>
      </w:pPr>
      <w:r>
        <w:rPr>
          <w:rFonts w:ascii="Calibri" w:cs="Calibri" w:eastAsia="Calibri" w:hAnsi="Calibri"/>
          <w:sz w:val="19"/>
          <w:szCs w:val="19"/>
        </w:rPr>
        <w:t xml:space="preserve">A special resolution authorises the Board to act; it does not itself effect the change. An amendment to the articles takes effect on filing, an allotment on the Board allotting and entering the allottee in the register, a change of name on the fresh certificate of incorporation. Items 9 to 12 of the checklist exist because companies routinely pass the resolution and stop.</w:t>
      </w:r>
    </w:p>
    <w:p>
      <w:pPr>
        <w:keepNext/>
        <w:spacing w:after="40" w:before="140"/>
      </w:pPr>
      <w:r>
        <w:rPr>
          <w:rFonts w:ascii="Calibri" w:cs="Calibri" w:eastAsia="Calibri" w:hAnsi="Calibri"/>
          <w:b/>
          <w:bCs/>
          <w:color w:val="14161B"/>
          <w:sz w:val="20"/>
          <w:szCs w:val="20"/>
        </w:rPr>
        <w:t xml:space="preserve">Where other approvals are needed</w:t>
      </w:r>
    </w:p>
    <w:p>
      <w:pPr>
        <w:spacing w:after="60" w:line="264"/>
        <w:jc w:val="both"/>
      </w:pPr>
      <w:r>
        <w:rPr>
          <w:rFonts w:ascii="Calibri" w:cs="Calibri" w:eastAsia="Calibri" w:hAnsi="Calibri"/>
          <w:sz w:val="19"/>
          <w:szCs w:val="19"/>
        </w:rPr>
        <w:t xml:space="preserve">Some matters require approval from a regulator or a court or tribunal in addition to the members. A resolution acted on before that approval is obtained is ineffective. Item 12 of the checklist is deliberately last and should be checked first.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list of matters requiring a special resolution, the applicable forms, and the filing periods all change — confirm the position for the specific matter with a company secretary before issuing the notice.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2026-08-21T12:53:53.990Z</dcterms:created>
  <dcterms:modified xsi:type="dcterms:W3CDTF">2026-08-21T12:53:53.990Z</dcterms:modified>
</cp:coreProperties>
</file>

<file path=docProps/custom.xml><?xml version="1.0" encoding="utf-8"?>
<Properties xmlns="http://schemas.openxmlformats.org/officeDocument/2006/custom-properties" xmlns:vt="http://schemas.openxmlformats.org/officeDocument/2006/docPropsVTypes"/>
</file>