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 PURCHASE AGREEMENT</w:t>
      </w:r>
    </w:p>
    <w:p>
      <w:pPr>
        <w:spacing w:after="260"/>
        <w:jc w:val="center"/>
      </w:pPr>
      <w:r>
        <w:rPr>
          <w:rFonts w:ascii="Calibri" w:cs="Calibri" w:eastAsia="Calibri" w:hAnsi="Calibri"/>
          <w:i/>
          <w:iCs/>
          <w:color w:val="6E7480"/>
          <w:sz w:val="19"/>
          <w:szCs w:val="19"/>
        </w:rPr>
        <w:t xml:space="preserve">Secondary transfer of shares in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This template covers a secondary sale of existing shares from a selling shareholder to a purchaser. It is not a subscription — no new shares are issued and no money reaches the company. Execute on stamp paper of the value prescribed in the State of execution; the share transfer form itself is separately stampable.</w:t>
      </w:r>
    </w:p>
    <w:p>
      <w:pPr>
        <w:spacing w:after="140" w:before="0" w:line="276"/>
        <w:jc w:val="both"/>
      </w:pPr>
      <w:r>
        <w:rPr>
          <w:rFonts w:ascii="Calibri" w:cs="Calibri" w:eastAsia="Calibri" w:hAnsi="Calibri"/>
          <w:b/>
          <w:bCs/>
          <w:sz w:val="21"/>
          <w:szCs w:val="21"/>
        </w:rPr>
        <w:t xml:space="preserve">THIS SHARE PURCHASE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BY AND 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[SELLER NAME]</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residential status for tax purposes]</w:t>
      </w:r>
      <w:r>
        <w:rPr>
          <w:rFonts w:ascii="Calibri" w:cs="Calibri" w:eastAsia="Calibri" w:hAnsi="Calibri"/>
          <w:sz w:val="21"/>
          <w:szCs w:val="21"/>
        </w:rPr>
        <w:t xml:space="preserve"> (the "</w:t>
      </w:r>
      <w:r>
        <w:rPr>
          <w:rFonts w:ascii="Calibri" w:cs="Calibri" w:eastAsia="Calibri" w:hAnsi="Calibri"/>
          <w:b/>
          <w:bCs/>
          <w:sz w:val="21"/>
          <w:szCs w:val="21"/>
        </w:rPr>
        <w:t xml:space="preserve">Seller</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[PURCHASER NAME]</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residential status]</w:t>
      </w:r>
      <w:r>
        <w:rPr>
          <w:rFonts w:ascii="Calibri" w:cs="Calibri" w:eastAsia="Calibri" w:hAnsi="Calibri"/>
          <w:sz w:val="21"/>
          <w:szCs w:val="21"/>
        </w:rPr>
        <w:t xml:space="preserve"> (the "</w:t>
      </w:r>
      <w:r>
        <w:rPr>
          <w:rFonts w:ascii="Calibri" w:cs="Calibri" w:eastAsia="Calibri" w:hAnsi="Calibri"/>
          <w:b/>
          <w:bCs/>
          <w:sz w:val="21"/>
          <w:szCs w:val="21"/>
        </w:rPr>
        <w:t xml:space="preserve">Purchaser</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under the Companies Act, 2013, CIN </w:t>
      </w:r>
      <w:r>
        <w:rPr>
          <w:rFonts w:ascii="Calibri" w:cs="Calibri" w:eastAsia="Calibri" w:hAnsi="Calibri"/>
          <w:b/>
          <w:bCs/>
          <w:sz w:val="21"/>
          <w:szCs w:val="21"/>
        </w:rPr>
        <w:t xml:space="preserve">[CIN]</w:t>
      </w:r>
      <w:r>
        <w:rPr>
          <w:rFonts w:ascii="Calibri" w:cs="Calibri" w:eastAsia="Calibri" w:hAnsi="Calibri"/>
          <w:sz w:val="21"/>
          <w:szCs w:val="21"/>
        </w:rPr>
        <w:t xml:space="preserve">,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joining as a confirming party.</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carries on the business of </w:t>
      </w:r>
      <w:r>
        <w:rPr>
          <w:rFonts w:ascii="Calibri" w:cs="Calibri" w:eastAsia="Calibri" w:hAnsi="Calibri"/>
          <w:b/>
          <w:bCs/>
          <w:sz w:val="21"/>
          <w:szCs w:val="21"/>
        </w:rPr>
        <w:t xml:space="preserve">[DESCRIBE]</w:t>
      </w:r>
      <w:r>
        <w:rPr>
          <w:rFonts w:ascii="Calibri" w:cs="Calibri" w:eastAsia="Calibri" w:hAnsi="Calibri"/>
          <w:sz w:val="21"/>
          <w:szCs w:val="21"/>
        </w:rPr>
        <w:t xml:space="preserve"> (the "</w:t>
      </w:r>
      <w:r>
        <w:rPr>
          <w:rFonts w:ascii="Calibri" w:cs="Calibri" w:eastAsia="Calibri" w:hAnsi="Calibri"/>
          <w:b/>
          <w:bCs/>
          <w:sz w:val="21"/>
          <w:szCs w:val="21"/>
        </w:rPr>
        <w:t xml:space="preserve">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Seller is the registered and beneficial owner of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[equity shares / compulsorily convertible preference shares]</w:t>
      </w:r>
      <w:r>
        <w:rPr>
          <w:rFonts w:ascii="Calibri" w:cs="Calibri" w:eastAsia="Calibri" w:hAnsi="Calibri"/>
          <w:sz w:val="21"/>
          <w:szCs w:val="21"/>
        </w:rPr>
        <w:t xml:space="preserve">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representing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its share capital on a Fully Diluted Basis.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Seller wishes to sell and the Purchaser wishes to purchase the Sale Shares on the terms of this Agreement.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Company joins as a confirming party to record its consent, to waive any restriction on transfer in its articles of association to the extent necessary, and to give the undertakings in Clause 8.</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Completion</w:t>
      </w:r>
      <w:r>
        <w:rPr>
          <w:rFonts w:ascii="Calibri" w:cs="Calibri" w:eastAsia="Calibri" w:hAnsi="Calibri"/>
          <w:sz w:val="21"/>
          <w:szCs w:val="21"/>
        </w:rPr>
        <w:t xml:space="preserve">" means completion of the sale and purchase in accordance with Clause 4.</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Consideration</w:t>
      </w:r>
      <w:r>
        <w:rPr>
          <w:rFonts w:ascii="Calibri" w:cs="Calibri" w:eastAsia="Calibri" w:hAnsi="Calibri"/>
          <w:sz w:val="21"/>
          <w:szCs w:val="21"/>
        </w:rPr>
        <w:t xml:space="preserve">" means the aggregate amount payable under Clause 3.1.</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Encumbrance</w:t>
      </w:r>
      <w:r>
        <w:rPr>
          <w:rFonts w:ascii="Calibri" w:cs="Calibri" w:eastAsia="Calibri" w:hAnsi="Calibri"/>
          <w:sz w:val="21"/>
          <w:szCs w:val="21"/>
        </w:rPr>
        <w:t xml:space="preserve">" means any mortgage, charge, pledge, lien, hypothecation, security interest, option, right of pre-emption, trust, or any other agreement having a similar effect.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Escrow Agent</w:t>
      </w:r>
      <w:r>
        <w:rPr>
          <w:rFonts w:ascii="Calibri" w:cs="Calibri" w:eastAsia="Calibri" w:hAnsi="Calibri"/>
          <w:sz w:val="21"/>
          <w:szCs w:val="21"/>
        </w:rPr>
        <w:t xml:space="preserve">" means </w:t>
      </w:r>
      <w:r>
        <w:rPr>
          <w:rFonts w:ascii="Calibri" w:cs="Calibri" w:eastAsia="Calibri" w:hAnsi="Calibri"/>
          <w:b/>
          <w:bCs/>
          <w:sz w:val="21"/>
          <w:szCs w:val="21"/>
        </w:rPr>
        <w:t xml:space="preserve">[NAME]</w:t>
      </w:r>
      <w:r>
        <w:rPr>
          <w:rFonts w:ascii="Calibri" w:cs="Calibri" w:eastAsia="Calibri" w:hAnsi="Calibri"/>
          <w:sz w:val="21"/>
          <w:szCs w:val="21"/>
        </w:rPr>
        <w:t xml:space="preserve">, appointed under the escrow agreement in the form of Schedule 4.</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Escrow Amount</w:t>
      </w:r>
      <w:r>
        <w:rPr>
          <w:rFonts w:ascii="Calibri" w:cs="Calibri" w:eastAsia="Calibri" w:hAnsi="Calibri"/>
          <w:sz w:val="21"/>
          <w:szCs w:val="21"/>
        </w:rPr>
        <w:t xml:space="preserve">" means ₹ </w:t>
      </w:r>
      <w:r>
        <w:rPr>
          <w:rFonts w:ascii="Calibri" w:cs="Calibri" w:eastAsia="Calibri" w:hAnsi="Calibri"/>
          <w:b/>
          <w:bCs/>
          <w:sz w:val="21"/>
          <w:szCs w:val="21"/>
        </w:rPr>
        <w:t xml:space="preserve">[AMOUNT]</w:t>
      </w:r>
      <w:r>
        <w:rPr>
          <w:rFonts w:ascii="Calibri" w:cs="Calibri" w:eastAsia="Calibri" w:hAnsi="Calibri"/>
          <w:sz w:val="21"/>
          <w:szCs w:val="21"/>
        </w:rPr>
        <w:t xml:space="preserve">, being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Consideration.</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Long Stop Date</w:t>
      </w:r>
      <w:r>
        <w:rPr>
          <w:rFonts w:ascii="Calibri" w:cs="Calibri" w:eastAsia="Calibri" w:hAnsi="Calibri"/>
          <w:sz w:val="21"/>
          <w:szCs w:val="21"/>
        </w:rPr>
        <w:t xml:space="preserve">" means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Sale Shares</w:t>
      </w:r>
      <w:r>
        <w:rPr>
          <w:rFonts w:ascii="Calibri" w:cs="Calibri" w:eastAsia="Calibri" w:hAnsi="Calibri"/>
          <w:sz w:val="21"/>
          <w:szCs w:val="21"/>
        </w:rPr>
        <w:t xml:space="preserve">" means the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[equity shares / CCPS]</w:t>
      </w:r>
      <w:r>
        <w:rPr>
          <w:rFonts w:ascii="Calibri" w:cs="Calibri" w:eastAsia="Calibri" w:hAnsi="Calibri"/>
          <w:sz w:val="21"/>
          <w:szCs w:val="21"/>
        </w:rPr>
        <w:t xml:space="preserve"> described in Recital B, together with all rights attaching to them, including the right to any dividend declared but unpaid.</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Warranties</w:t>
      </w:r>
      <w:r>
        <w:rPr>
          <w:rFonts w:ascii="Calibri" w:cs="Calibri" w:eastAsia="Calibri" w:hAnsi="Calibri"/>
          <w:sz w:val="21"/>
          <w:szCs w:val="21"/>
        </w:rPr>
        <w:t xml:space="preserve">" means the warranties in Schedule 2.</w:t>
      </w:r>
    </w:p>
    <w:p>
      <w:pPr>
        <w:keepNext/>
        <w:spacing w:after="120" w:before="280"/>
        <w:outlineLvl w:val="0"/>
      </w:pPr>
      <w:r>
        <w:rPr>
          <w:rFonts w:ascii="Calibri" w:cs="Calibri" w:eastAsia="Calibri" w:hAnsi="Calibri"/>
          <w:b/>
          <w:bCs/>
          <w:color w:val="14161B"/>
          <w:sz w:val="22"/>
          <w:szCs w:val="22"/>
        </w:rPr>
        <w:t xml:space="preserve">2. SALE AND PURCHASE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Seller shall sell with full title guarantee, and the Purchaser shall purchase, the Sale Shares free from all Encumbrances and together with all rights attaching to them as at the Completion Date.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Seller waives, and shall procure the waiver of, any right of pre-emption, first refusal, tag-along or other restriction on the transfer of the Sale Shares conferred by the articles of association of the Company, any shareholders’ agreement, or otherwise, whether in favour of the Seller or any other person. The written waivers are a Condition Precedent.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Purchaser shall not be obliged to complete the purchase of any of the Sale Shares unless the purchase of all of them is completed simultaneously.</w:t>
      </w:r>
    </w:p>
    <w:p>
      <w:pPr>
        <w:keepNext/>
        <w:spacing w:after="120" w:before="280"/>
        <w:outlineLvl w:val="0"/>
      </w:pPr>
      <w:r>
        <w:rPr>
          <w:rFonts w:ascii="Calibri" w:cs="Calibri" w:eastAsia="Calibri" w:hAnsi="Calibri"/>
          <w:b/>
          <w:bCs/>
          <w:color w:val="14161B"/>
          <w:sz w:val="22"/>
          <w:szCs w:val="22"/>
        </w:rPr>
        <w:t xml:space="preserve">3. CONSIDERATION AND WITHHOLDING</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Consideration for the Sale Shares is ₹ </w:t>
      </w:r>
      <w:r>
        <w:rPr>
          <w:rFonts w:ascii="Calibri" w:cs="Calibri" w:eastAsia="Calibri" w:hAnsi="Calibri"/>
          <w:b/>
          <w:bCs/>
          <w:sz w:val="21"/>
          <w:szCs w:val="21"/>
        </w:rPr>
        <w:t xml:space="preserve">[AMOUNT]</w:t>
      </w:r>
      <w:r>
        <w:rPr>
          <w:rFonts w:ascii="Calibri" w:cs="Calibri" w:eastAsia="Calibri" w:hAnsi="Calibri"/>
          <w:sz w:val="21"/>
          <w:szCs w:val="21"/>
        </w:rPr>
        <w:t xml:space="preserve">, being ₹ </w:t>
      </w:r>
      <w:r>
        <w:rPr>
          <w:rFonts w:ascii="Calibri" w:cs="Calibri" w:eastAsia="Calibri" w:hAnsi="Calibri"/>
          <w:b/>
          <w:bCs/>
          <w:sz w:val="21"/>
          <w:szCs w:val="21"/>
        </w:rPr>
        <w:t xml:space="preserve">[PRICE PER SHARE]</w:t>
      </w:r>
      <w:r>
        <w:rPr>
          <w:rFonts w:ascii="Calibri" w:cs="Calibri" w:eastAsia="Calibri" w:hAnsi="Calibri"/>
          <w:sz w:val="21"/>
          <w:szCs w:val="21"/>
        </w:rPr>
        <w:t xml:space="preserve"> per Sale Share </w:t>
      </w:r>
      <w:r>
        <w:rPr>
          <w:rFonts w:ascii="Calibri" w:cs="Calibri" w:eastAsia="Calibri" w:hAnsi="Calibri"/>
          <w:i/>
          <w:iCs/>
          <w:sz w:val="21"/>
          <w:szCs w:val="21"/>
        </w:rPr>
        <w:t xml:space="preserve">(a commercial decision — specify)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Consideration shall be satisfied at Completion as follows: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Escrow Amount shall be paid into the escrow account, to be released in accordance with Clause 3.5;</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amount required to be withheld under Clause 3.3 shall be retained by the Purchaser and deposited with the tax authorities;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balance shall be paid to the Seller by electronic transfer to the account specified in Schedule 3.</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Withholding.</w:t>
      </w:r>
      <w:r>
        <w:rPr>
          <w:rFonts w:ascii="Calibri" w:cs="Calibri" w:eastAsia="Calibri" w:hAnsi="Calibri"/>
          <w:sz w:val="21"/>
          <w:szCs w:val="21"/>
        </w:rPr>
        <w:t xml:space="preserve"> The Purchaser shall deduct tax at source from the Consideration at the rate required by applicable law, and shall deposit the amount deducted within the prescribed time and issue the prescribed certificate to the Seller within </w:t>
      </w:r>
      <w:r>
        <w:rPr>
          <w:rFonts w:ascii="Calibri" w:cs="Calibri" w:eastAsia="Calibri" w:hAnsi="Calibri"/>
          <w:b/>
          <w:bCs/>
          <w:sz w:val="21"/>
          <w:szCs w:val="21"/>
        </w:rPr>
        <w:t xml:space="preserve">[15]</w:t>
      </w:r>
      <w:r>
        <w:rPr>
          <w:rFonts w:ascii="Calibri" w:cs="Calibri" w:eastAsia="Calibri" w:hAnsi="Calibri"/>
          <w:sz w:val="21"/>
          <w:szCs w:val="21"/>
        </w:rPr>
        <w:t xml:space="preserve"> days of the due date for deposit. The Seller shall provide its permanent account number, its tax residency certificate and the prescribed declaration where a treaty rate is claimed, and such other documents as the Purchaser reasonably requires to determine the rate.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If the Seller obtains a certificate from the assessing officer authorising deduction at a lower rate or no deduction, and delivers it to the Purchaser before Completion, the Purchaser shall deduct at the rate specified in that certificate. If the Purchaser is subsequently held liable for any shortfall in deduction, interest or penalty, the Seller shall indemnify the Purchaser in full.</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Escrow.</w:t>
      </w:r>
      <w:r>
        <w:rPr>
          <w:rFonts w:ascii="Calibri" w:cs="Calibri" w:eastAsia="Calibri" w:hAnsi="Calibri"/>
          <w:sz w:val="21"/>
          <w:szCs w:val="21"/>
        </w:rPr>
        <w:t xml:space="preserve"> The Escrow Amount shall be held for </w:t>
      </w:r>
      <w:r>
        <w:rPr>
          <w:rFonts w:ascii="Calibri" w:cs="Calibri" w:eastAsia="Calibri" w:hAnsi="Calibri"/>
          <w:b/>
          <w:bCs/>
          <w:sz w:val="21"/>
          <w:szCs w:val="21"/>
        </w:rPr>
        <w:t xml:space="preserve">[18]</w:t>
      </w:r>
      <w:r>
        <w:rPr>
          <w:rFonts w:ascii="Calibri" w:cs="Calibri" w:eastAsia="Calibri" w:hAnsi="Calibri"/>
          <w:sz w:val="21"/>
          <w:szCs w:val="21"/>
        </w:rPr>
        <w:t xml:space="preserve"> months from Completion and released as follows: on the expiry of that period, the balance after deducting any amount claimed by the Purchaser under a notified and unresolved claim shall be released to the Seller; any amount subject to a notified claim shall be retained until the claim is resolved or withdrawn; and any amount determined to be payable to the Purchaser shall be released to the Purchaser. Interest on the Escrow Amount shall follow the principal. </w:t>
      </w:r>
      <w:r>
        <w:rPr>
          <w:rFonts w:ascii="Calibri" w:cs="Calibri" w:eastAsia="Calibri" w:hAnsi="Calibri"/>
          <w:i/>
          <w:iCs/>
          <w:sz w:val="21"/>
          <w:szCs w:val="21"/>
        </w:rPr>
        <w:t xml:space="preserve">(An escrow or holdback is a commercial decision — specify the amount and period, or delete this Clause and Schedule 4.)</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Adjustment.</w:t>
      </w:r>
      <w:r>
        <w:rPr>
          <w:rFonts w:ascii="Calibri" w:cs="Calibri" w:eastAsia="Calibri" w:hAnsi="Calibri"/>
          <w:sz w:val="21"/>
          <w:szCs w:val="21"/>
        </w:rPr>
        <w:t xml:space="preserve"> </w:t>
      </w:r>
      <w:r>
        <w:rPr>
          <w:rFonts w:ascii="Calibri" w:cs="Calibri" w:eastAsia="Calibri" w:hAnsi="Calibri"/>
          <w:b/>
          <w:bCs/>
          <w:i/>
          <w:iCs/>
          <w:sz w:val="21"/>
          <w:szCs w:val="21"/>
        </w:rPr>
        <w:t xml:space="preserve">[Include only where the price is subject to a completion accounts or net-debt adjustment; delete for a straightforward secondary at a fixed price.]</w:t>
      </w:r>
      <w:r>
        <w:rPr>
          <w:rFonts w:ascii="Calibri" w:cs="Calibri" w:eastAsia="Calibri" w:hAnsi="Calibri"/>
          <w:sz w:val="21"/>
          <w:szCs w:val="21"/>
        </w:rPr>
        <w:t xml:space="preserve"> The Consideration shall be adjusted after Completion by reference to the completion accounts prepared in accordance with Schedule 5, on a rupee-for-rupee basis for the difference between the target and actual net working capital and net debt.</w:t>
      </w:r>
    </w:p>
    <w:p>
      <w:pPr>
        <w:keepNext/>
        <w:spacing w:after="120" w:before="280"/>
        <w:outlineLvl w:val="0"/>
      </w:pPr>
      <w:r>
        <w:rPr>
          <w:rFonts w:ascii="Calibri" w:cs="Calibri" w:eastAsia="Calibri" w:hAnsi="Calibri"/>
          <w:b/>
          <w:bCs/>
          <w:color w:val="14161B"/>
          <w:sz w:val="22"/>
          <w:szCs w:val="22"/>
        </w:rPr>
        <w:t xml:space="preserve">4. CONDITIONS AND COMPLETION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Completion is conditional on the conditions in Schedule 1 having been satisfied or waived by the Purchaser in writing, by the Long Stop Date.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Completion shall take place at </w:t>
      </w:r>
      <w:r>
        <w:rPr>
          <w:rFonts w:ascii="Calibri" w:cs="Calibri" w:eastAsia="Calibri" w:hAnsi="Calibri"/>
          <w:b/>
          <w:bCs/>
          <w:sz w:val="21"/>
          <w:szCs w:val="21"/>
        </w:rPr>
        <w:t xml:space="preserve">[PLACE OR REMOTELY]</w:t>
      </w:r>
      <w:r>
        <w:rPr>
          <w:rFonts w:ascii="Calibri" w:cs="Calibri" w:eastAsia="Calibri" w:hAnsi="Calibri"/>
          <w:sz w:val="21"/>
          <w:szCs w:val="21"/>
        </w:rPr>
        <w:t xml:space="preserve"> on the </w:t>
      </w:r>
      <w:r>
        <w:rPr>
          <w:rFonts w:ascii="Calibri" w:cs="Calibri" w:eastAsia="Calibri" w:hAnsi="Calibri"/>
          <w:b/>
          <w:bCs/>
          <w:sz w:val="21"/>
          <w:szCs w:val="21"/>
        </w:rPr>
        <w:t xml:space="preserve">[5]</w:t>
      </w:r>
      <w:r>
        <w:rPr>
          <w:rFonts w:ascii="Calibri" w:cs="Calibri" w:eastAsia="Calibri" w:hAnsi="Calibri"/>
          <w:sz w:val="21"/>
          <w:szCs w:val="21"/>
        </w:rPr>
        <w:t xml:space="preserve">th Business Day after the last Condition Precedent is satisfied.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At Completion the Seller shall deliver to the Purchaser: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duly executed and stamped share transfer forms in Form SH-4 in respect of the Sale Shares, in favour of the Purchaser;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original share certificates for the Sale Shares, or, where the Sale Shares are in dematerialised form, evidence of instruction to the depository participant to effect the transfer;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written waivers referred to in Clause 2.2;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 certificate confirming that the Warranties are true and accurate as at the Completion Date;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where the Seller is a director, its resignation from the Board and from every committee, in a form confirming that it has no claim against the Company for compensation, loss of office, or otherwise;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 deed of release in the form of Schedule 6, releasing the Company from all claims of the Seller other than those expressly preserved;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other documents listed in Schedule 1.</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At Completion the Purchaser shall pay the Consideration in accordance with Clause 3.2, and shall execute a deed of adherence to any shareholders’ agreement to which the Sale Shares are subject.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At Completion the Company shall convene a Board meeting to approve the transfer, register the Purchaser in the register of members, issue endorsed or fresh share certificates, record the resignation of any resigning director, and appoint any director nominated by the Purchaser.</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All acts at Completion are interdependent and shall be treated as having taken place simultaneously.</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sz w:val="21"/>
          <w:szCs w:val="21"/>
        </w:rPr>
        <w:t xml:space="preserve">Within the prescribed periods after Completion, the Company shall file the particulars of any change in directors, and, where either the Seller or the Purchaser is a person resident outside India, the resident party to the transfer shall file Form FC-TRS with the authorised dealer bank on the FIRMS portal within the prescribed period, and the Parties shall provide all documents required for that filing.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CONDUCT BEFORE COMPLETION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Between the date of this Agreement and Completion, the Seller shall not transfer, encumber, or agree to transfer or encumber, any of the Sale Shares, and shall not exercise any voting right so as to approve any of the matters in Clause 5.2.</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Seller shall use its rights as a shareholder to procure, so far as it is able, that the Company carries on the Business in the ordinary course and does not, without the Purchaser’s consent, issue or transfer securities, alter its capital, declare a dividend, dispose of a material asset, incur indebtedness outside the ordinary course, or amend its constitutional documents. </w:t>
      </w:r>
      <w:r>
        <w:rPr>
          <w:rFonts w:ascii="Calibri" w:cs="Calibri" w:eastAsia="Calibri" w:hAnsi="Calibri"/>
          <w:i/>
          <w:iCs/>
          <w:sz w:val="21"/>
          <w:szCs w:val="21"/>
        </w:rPr>
        <w:t xml:space="preserve">(Where the Seller is a minority holder, this is an obligation of efforts only, and should be drafted as such.)</w:t>
      </w:r>
    </w:p>
    <w:p>
      <w:pPr>
        <w:keepNext/>
        <w:spacing w:after="120" w:before="280"/>
        <w:outlineLvl w:val="0"/>
      </w:pPr>
      <w:r>
        <w:rPr>
          <w:rFonts w:ascii="Calibri" w:cs="Calibri" w:eastAsia="Calibri" w:hAnsi="Calibri"/>
          <w:b/>
          <w:bCs/>
          <w:color w:val="14161B"/>
          <w:sz w:val="22"/>
          <w:szCs w:val="22"/>
        </w:rPr>
        <w:t xml:space="preserve">6. WARRANTIES AND INDEMNITY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Seller warrants to the Purchaser that each of the warranties in Part A of Schedule 2 (title and capacity) is true, accurate and not misleading as at the date of this Agreement and as at the Completion Date.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Seller </w:t>
      </w:r>
      <w:r>
        <w:rPr>
          <w:rFonts w:ascii="Calibri" w:cs="Calibri" w:eastAsia="Calibri" w:hAnsi="Calibri"/>
          <w:b/>
          <w:bCs/>
          <w:sz w:val="21"/>
          <w:szCs w:val="21"/>
        </w:rPr>
        <w:t xml:space="preserve">[and the Company]</w:t>
      </w:r>
      <w:r>
        <w:rPr>
          <w:rFonts w:ascii="Calibri" w:cs="Calibri" w:eastAsia="Calibri" w:hAnsi="Calibri"/>
          <w:sz w:val="21"/>
          <w:szCs w:val="21"/>
        </w:rPr>
        <w:t xml:space="preserve"> further warrant that each of the warranties in Part B of Schedule 2 (business warranties) is true, accurate and not misleading as at those dates, subject only to the matters fairly disclosed in the disclosure letter of even date. </w:t>
      </w:r>
      <w:r>
        <w:rPr>
          <w:rFonts w:ascii="Calibri" w:cs="Calibri" w:eastAsia="Calibri" w:hAnsi="Calibri"/>
          <w:i/>
          <w:iCs/>
          <w:sz w:val="21"/>
          <w:szCs w:val="21"/>
        </w:rPr>
        <w:t xml:space="preserve">(Whether a secondary seller gives business warranties at all is a commercial decision. A departing founder selling a control stake normally does; a small financial investor selling a minority stake normally gives title warranties only. Specify.)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 matter is fairly disclosed only if disclosed in sufficient detail to enable the Purchaser to identify its nature and scope and to make an informed assessment of it.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Seller shall indemnify the Purchaser against all losses, liabilities, costs and expenses arising from any breach of the Warranties, from any Encumbrance affecting the Sale Shares, from any claim by a third party to be entitled to the Sale Shares, and from any tax payable by the Purchaser or the Company by reason of the Seller’s failure to discharge its own tax liability on the transfer.</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aggregate liability of the Seller under Clause 6.4 in respect of the business warranties shall not exceed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Consideration, and no claim shall be made unless the aggregate of all claims exceeds ₹ </w:t>
      </w:r>
      <w:r>
        <w:rPr>
          <w:rFonts w:ascii="Calibri" w:cs="Calibri" w:eastAsia="Calibri" w:hAnsi="Calibri"/>
          <w:b/>
          <w:bCs/>
          <w:sz w:val="21"/>
          <w:szCs w:val="21"/>
        </w:rPr>
        <w:t xml:space="preserve">[THRESHOLD]</w:t>
      </w:r>
      <w:r>
        <w:rPr>
          <w:rFonts w:ascii="Calibri" w:cs="Calibri" w:eastAsia="Calibri" w:hAnsi="Calibri"/>
          <w:sz w:val="21"/>
          <w:szCs w:val="21"/>
        </w:rPr>
        <w:t xml:space="preserve">. Liability in respect of the title warranties, of tax, and of fraud shall be limited to the Consideration and shall not be subject to that threshold.</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A claim shall be notified within </w:t>
      </w:r>
      <w:r>
        <w:rPr>
          <w:rFonts w:ascii="Calibri" w:cs="Calibri" w:eastAsia="Calibri" w:hAnsi="Calibri"/>
          <w:b/>
          <w:bCs/>
          <w:sz w:val="21"/>
          <w:szCs w:val="21"/>
        </w:rPr>
        <w:t xml:space="preserve">[18]</w:t>
      </w:r>
      <w:r>
        <w:rPr>
          <w:rFonts w:ascii="Calibri" w:cs="Calibri" w:eastAsia="Calibri" w:hAnsi="Calibri"/>
          <w:sz w:val="21"/>
          <w:szCs w:val="21"/>
        </w:rPr>
        <w:t xml:space="preserve"> months of Completion, save that a tax claim may be notified within </w:t>
      </w:r>
      <w:r>
        <w:rPr>
          <w:rFonts w:ascii="Calibri" w:cs="Calibri" w:eastAsia="Calibri" w:hAnsi="Calibri"/>
          <w:b/>
          <w:bCs/>
          <w:sz w:val="21"/>
          <w:szCs w:val="21"/>
        </w:rPr>
        <w:t xml:space="preserve">[60]</w:t>
      </w:r>
      <w:r>
        <w:rPr>
          <w:rFonts w:ascii="Calibri" w:cs="Calibri" w:eastAsia="Calibri" w:hAnsi="Calibri"/>
          <w:sz w:val="21"/>
          <w:szCs w:val="21"/>
        </w:rPr>
        <w:t xml:space="preserve"> days after the expiry of the period within which the relevant tax authority may raise an assessment or reassessment, and a claim involving fraud or a title warranty may be notified at any time within the period permitted by the Limitation Act, 1963.</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The Purchaser warrants to the Seller that it has the capacity and authority to enter into and perform this Agreement, that the funds used to pay the Consideration are from lawful sources, and, where it is a person resident outside India, that it is eligible to acquire the Sale Shares under applicable exchange control law.</w:t>
      </w:r>
    </w:p>
    <w:p>
      <w:pPr>
        <w:keepNext/>
        <w:spacing w:after="120" w:before="280"/>
        <w:outlineLvl w:val="0"/>
      </w:pPr>
      <w:r>
        <w:rPr>
          <w:rFonts w:ascii="Calibri" w:cs="Calibri" w:eastAsia="Calibri" w:hAnsi="Calibri"/>
          <w:b/>
          <w:bCs/>
          <w:color w:val="14161B"/>
          <w:sz w:val="22"/>
          <w:szCs w:val="22"/>
        </w:rPr>
        <w:t xml:space="preserve">7. TAX</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Seller shall be solely responsible for any tax on capital gains or other income arising to it on the transfer of the Sale Shares, shall report the transaction in its return of income, and shall indemnify the Purchaser and the Company against any claim, demand, interest or penalty arising from its failure to do so.</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Each Party shall bear its own tax and shall provide to the other all documents, certificates and information reasonably required to determine the correct rate of deduction, to claim a treaty benefit, or to respond to any query from a tax authority.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Stamp duty on the transfer of the Sale Shares shall be borne by the </w:t>
      </w:r>
      <w:r>
        <w:rPr>
          <w:rFonts w:ascii="Calibri" w:cs="Calibri" w:eastAsia="Calibri" w:hAnsi="Calibri"/>
          <w:b/>
          <w:bCs/>
          <w:sz w:val="21"/>
          <w:szCs w:val="21"/>
        </w:rPr>
        <w:t xml:space="preserve">[Purchaser]</w:t>
      </w:r>
      <w:r>
        <w:rPr>
          <w:rFonts w:ascii="Calibri" w:cs="Calibri" w:eastAsia="Calibri" w:hAnsi="Calibri"/>
          <w:sz w:val="21"/>
          <w:szCs w:val="21"/>
        </w:rPr>
        <w:t xml:space="preserve"> </w:t>
      </w:r>
      <w:r>
        <w:rPr>
          <w:rFonts w:ascii="Calibri" w:cs="Calibri" w:eastAsia="Calibri" w:hAnsi="Calibri"/>
          <w:i/>
          <w:iCs/>
          <w:sz w:val="21"/>
          <w:szCs w:val="21"/>
        </w:rPr>
        <w:t xml:space="preserve">(commonly the purchaser, but a commercial decision — specify)</w:t>
      </w:r>
      <w:r>
        <w:rPr>
          <w:rFonts w:ascii="Calibri" w:cs="Calibri" w:eastAsia="Calibri" w:hAnsi="Calibri"/>
          <w:sz w:val="21"/>
          <w:szCs w:val="21"/>
        </w:rPr>
        <w:t xml:space="preserve">. Stamp duty on this Agreement shall be borne by </w:t>
      </w:r>
      <w:r>
        <w:rPr>
          <w:rFonts w:ascii="Calibri" w:cs="Calibri" w:eastAsia="Calibri" w:hAnsi="Calibri"/>
          <w:b/>
          <w:bCs/>
          <w:sz w:val="21"/>
          <w:szCs w:val="21"/>
        </w:rPr>
        <w:t xml:space="preserve">[the Parties equally]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If any tax authority takes the view that the transfer has been made at less than fair market value, or raises any demand on the Company as a representative assessee or otherwise in respect of the transfer, the Seller shall indemnify the Company and the Purchaser in full.</w:t>
      </w:r>
    </w:p>
    <w:p>
      <w:pPr>
        <w:keepNext/>
        <w:spacing w:after="120" w:before="280"/>
        <w:outlineLvl w:val="0"/>
      </w:pPr>
      <w:r>
        <w:rPr>
          <w:rFonts w:ascii="Calibri" w:cs="Calibri" w:eastAsia="Calibri" w:hAnsi="Calibri"/>
          <w:b/>
          <w:bCs/>
          <w:color w:val="14161B"/>
          <w:sz w:val="22"/>
          <w:szCs w:val="22"/>
        </w:rPr>
        <w:t xml:space="preserve">8. COMPANY UNDERTAKINGS AND POST-COMPLETION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confirms that the Sale Shares are validly issued and fully paid, that the Seller is the registered holder of them, that its records disclose no Encumbrance over them, and that it will register the transfer at Completion.</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shall, within </w:t>
      </w:r>
      <w:r>
        <w:rPr>
          <w:rFonts w:ascii="Calibri" w:cs="Calibri" w:eastAsia="Calibri" w:hAnsi="Calibri"/>
          <w:b/>
          <w:bCs/>
          <w:sz w:val="21"/>
          <w:szCs w:val="21"/>
        </w:rPr>
        <w:t xml:space="preserve">[7]</w:t>
      </w:r>
      <w:r>
        <w:rPr>
          <w:rFonts w:ascii="Calibri" w:cs="Calibri" w:eastAsia="Calibri" w:hAnsi="Calibri"/>
          <w:sz w:val="21"/>
          <w:szCs w:val="21"/>
        </w:rPr>
        <w:t xml:space="preserve"> Business Days after Completion, deliver to the Purchaser a certified extract of the register of members, the endorsed or fresh share certificates, and a certified copy of the Board resolution approving the transfer.</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Seller shall not, at any time after Completion, represent itself as being connected with the Company, and shall return all property, records and confidential information of the Company in its possession.</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Seller shall keep confidential all information relating to the Company and shall not, 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Completion, solicit or entice away any employee or customer of the Company. </w:t>
      </w:r>
      <w:r>
        <w:rPr>
          <w:rFonts w:ascii="Calibri" w:cs="Calibri" w:eastAsia="Calibri" w:hAnsi="Calibri"/>
          <w:i/>
          <w:iCs/>
          <w:sz w:val="21"/>
          <w:szCs w:val="21"/>
        </w:rPr>
        <w:t xml:space="preserve">(No post-completion non-competition restraint is imposed, because Section 27 of the Indian Contract Act, 1872 renders agreements in restraint of trade void, subject only to the exception for the sale of goodwill — see the notes.)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Each Party shall do all things and execute all documents reasonably required to give effect to this Agreement and to vest the Sale Shares in the Purchaser.</w:t>
      </w:r>
    </w:p>
    <w:p>
      <w:pPr>
        <w:keepNext/>
        <w:spacing w:after="120" w:before="280"/>
        <w:outlineLvl w:val="0"/>
      </w:pPr>
      <w:r>
        <w:rPr>
          <w:rFonts w:ascii="Calibri" w:cs="Calibri" w:eastAsia="Calibri" w:hAnsi="Calibri"/>
          <w:b/>
          <w:bCs/>
          <w:color w:val="14161B"/>
          <w:sz w:val="22"/>
          <w:szCs w:val="22"/>
        </w:rPr>
        <w:t xml:space="preserve">9. TERMINATION AND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Purchaser may terminate this Agreement before Completion if the Conditions Precedent are not satisfied by the Long Stop Date, if there is a material breach by the Seller not cured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notice, or if any insolvency proceeding is commenced in respect of the Seller or the Company.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Termination is without prejudice to accrued rights. Clauses 1, 7, 9 and 10 survive termination.</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Neither Party shall make any announcement concerning this Agreement without the prior written consent of the other and of the Company, save as required by law.</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Agreement constitutes the entire agreement between the Parties in respect of its subject matter and supersedes all prior agreements. No amendment or waiver is effective unless in writing and signed by all Parties.</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Notices shall be in writing and delivered by hand, courier or email to the addresses in Schedule 3.</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This Agreement may be executed in counterparts and by electronic signature.</w:t>
      </w:r>
    </w:p>
    <w:p>
      <w:pPr>
        <w:spacing w:after="120" w:before="60" w:line="276"/>
        <w:ind w:left="720" w:hanging="720"/>
        <w:jc w:val="both"/>
      </w:pPr>
      <w:r>
        <w:rPr>
          <w:rFonts w:ascii="Calibri" w:cs="Calibri" w:eastAsia="Calibri" w:hAnsi="Calibri"/>
          <w:sz w:val="21"/>
          <w:szCs w:val="21"/>
        </w:rPr>
        <w:t xml:space="preserve">9.7	</w:t>
      </w:r>
      <w:r>
        <w:rPr>
          <w:rFonts w:ascii="Calibri" w:cs="Calibri" w:eastAsia="Calibri" w:hAnsi="Calibri"/>
          <w:sz w:val="21"/>
          <w:szCs w:val="21"/>
        </w:rPr>
        <w:t xml:space="preserve">The Parties acknowledge that damages may not be an adequate remedy for breach of Clauses 2, 4 and 8, and that specific performance and injunctive relief may be sought, including under the Specific Relief Act, 1963.</w:t>
      </w:r>
    </w:p>
    <w:p>
      <w:pPr>
        <w:keepNext/>
        <w:spacing w:after="120" w:before="280"/>
        <w:outlineLvl w:val="0"/>
      </w:pPr>
      <w:r>
        <w:rPr>
          <w:rFonts w:ascii="Calibri" w:cs="Calibri" w:eastAsia="Calibri" w:hAnsi="Calibri"/>
          <w:b/>
          <w:bCs/>
          <w:color w:val="14161B"/>
          <w:sz w:val="22"/>
          <w:szCs w:val="22"/>
        </w:rPr>
        <w:t xml:space="preserve">10. GOVERNING LAW AND DISPUTES</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Any dispute shall be referred to and finally resolved by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in the English language.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for interim relief and for proceedings under that Act.</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[SELLER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[PURCHASER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(confirming party)</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Conditions Precedent and Completion Deliverables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626"/>
        <w:gridCol w:w="1831"/>
        <w:gridCol w:w="270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Waiver of pre-emption, first refusal and tag rights by every person entitled to them under the articles or any shareholders’ agreement</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 and Company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waivers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of the Company approving the transfer and the registration of the Purchaser</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copy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required, shareholder approval or consent under any shareholders’ agreement</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copy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either party is a non-resident: valuation certificate establishing the fair market value in accordance with the applicable pricing guidelines, dated within 90 days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Purchaser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certificate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Delivery of the Seller’s permanent account number, tax residency certificate and prescribed declaration, or a lower-deduction certificate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Copies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Original share certificates, or dematerialised transfer instruction</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Originals or delivery instruction slip</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and stamped Form SH-4 transfer deeds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Resignation of the Seller or its nominee from the Board and all committees, with a no-claim confirmation</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letter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Deed of release in the form of Schedule 6</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Deed of adherence to the shareholders’ agreement executed by the Purchaser</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Purchaser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Escrow agreement in the form of Schedule 4 executed by all parties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of any lender, landlord or counterparty whose contract is triggered by a change in shareholding</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Written consents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letter delivered and accepted</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 order or proceeding restraining the transfer</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Confirmation</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Warranties</w:t>
      </w:r>
    </w:p>
    <w:p>
      <w:pPr>
        <w:keepNext/>
        <w:spacing w:after="100" w:before="200"/>
        <w:outlineLvl w:val="1"/>
      </w:pPr>
      <w:r>
        <w:rPr>
          <w:rFonts w:ascii="Calibri" w:cs="Calibri" w:eastAsia="Calibri" w:hAnsi="Calibri"/>
          <w:b/>
          <w:bCs/>
          <w:color w:val="14161B"/>
          <w:sz w:val="21"/>
          <w:szCs w:val="21"/>
        </w:rPr>
        <w:t xml:space="preserve">Part A — Title and Capacity (given by the Seller in all cases)</w:t>
      </w:r>
    </w:p>
    <w:p>
      <w:pPr>
        <w:spacing w:after="120" w:before="60" w:line="276"/>
        <w:ind w:left="720" w:hanging="720"/>
        <w:jc w:val="both"/>
      </w:pPr>
      <w:r>
        <w:rPr>
          <w:rFonts w:ascii="Calibri" w:cs="Calibri" w:eastAsia="Calibri" w:hAnsi="Calibri"/>
          <w:sz w:val="21"/>
          <w:szCs w:val="21"/>
        </w:rPr>
        <w:t xml:space="preserve">A1	</w:t>
      </w:r>
      <w:r>
        <w:rPr>
          <w:rFonts w:ascii="Calibri" w:cs="Calibri" w:eastAsia="Calibri" w:hAnsi="Calibri"/>
          <w:sz w:val="21"/>
          <w:szCs w:val="21"/>
        </w:rPr>
        <w:t xml:space="preserve">The Seller is the sole registered and beneficial owner of the Sale Shares and has the full right, power and authority to sell and transfer them.</w:t>
      </w:r>
    </w:p>
    <w:p>
      <w:pPr>
        <w:spacing w:after="120" w:before="60" w:line="276"/>
        <w:ind w:left="720" w:hanging="720"/>
        <w:jc w:val="both"/>
      </w:pPr>
      <w:r>
        <w:rPr>
          <w:rFonts w:ascii="Calibri" w:cs="Calibri" w:eastAsia="Calibri" w:hAnsi="Calibri"/>
          <w:sz w:val="21"/>
          <w:szCs w:val="21"/>
        </w:rPr>
        <w:t xml:space="preserve">A2	</w:t>
      </w:r>
      <w:r>
        <w:rPr>
          <w:rFonts w:ascii="Calibri" w:cs="Calibri" w:eastAsia="Calibri" w:hAnsi="Calibri"/>
          <w:sz w:val="21"/>
          <w:szCs w:val="21"/>
        </w:rPr>
        <w:t xml:space="preserve">The Sale Shares are validly issued, fully paid and free from all Encumbrances, and no person has any option, right of pre-emption or other right to acquire them, other than rights validly waived under Clause 2.2.</w:t>
      </w:r>
    </w:p>
    <w:p>
      <w:pPr>
        <w:spacing w:after="120" w:before="60" w:line="276"/>
        <w:ind w:left="720" w:hanging="720"/>
        <w:jc w:val="both"/>
      </w:pPr>
      <w:r>
        <w:rPr>
          <w:rFonts w:ascii="Calibri" w:cs="Calibri" w:eastAsia="Calibri" w:hAnsi="Calibri"/>
          <w:sz w:val="21"/>
          <w:szCs w:val="21"/>
        </w:rPr>
        <w:t xml:space="preserve">A3	</w:t>
      </w:r>
      <w:r>
        <w:rPr>
          <w:rFonts w:ascii="Calibri" w:cs="Calibri" w:eastAsia="Calibri" w:hAnsi="Calibri"/>
          <w:sz w:val="21"/>
          <w:szCs w:val="21"/>
        </w:rPr>
        <w:t xml:space="preserve">The Sale Shares constitute the entire holding of the Seller in the Company, and the Seller holds no other security, option or convertible instrument issued by the Company.</w:t>
      </w:r>
    </w:p>
    <w:p>
      <w:pPr>
        <w:spacing w:after="120" w:before="60" w:line="276"/>
        <w:ind w:left="720" w:hanging="720"/>
        <w:jc w:val="both"/>
      </w:pPr>
      <w:r>
        <w:rPr>
          <w:rFonts w:ascii="Calibri" w:cs="Calibri" w:eastAsia="Calibri" w:hAnsi="Calibri"/>
          <w:sz w:val="21"/>
          <w:szCs w:val="21"/>
        </w:rPr>
        <w:t xml:space="preserve">A4	</w:t>
      </w:r>
      <w:r>
        <w:rPr>
          <w:rFonts w:ascii="Calibri" w:cs="Calibri" w:eastAsia="Calibri" w:hAnsi="Calibri"/>
          <w:sz w:val="21"/>
          <w:szCs w:val="21"/>
        </w:rPr>
        <w:t xml:space="preserve">The Seller has the capacity and authority to enter into and perform this Agreement, has obtained all necessary consents including, where applicable, spousal or fiduciary consents, and this Agreement is binding on it.</w:t>
      </w:r>
    </w:p>
    <w:p>
      <w:pPr>
        <w:spacing w:after="120" w:before="60" w:line="276"/>
        <w:ind w:left="720" w:hanging="720"/>
        <w:jc w:val="both"/>
      </w:pPr>
      <w:r>
        <w:rPr>
          <w:rFonts w:ascii="Calibri" w:cs="Calibri" w:eastAsia="Calibri" w:hAnsi="Calibri"/>
          <w:sz w:val="21"/>
          <w:szCs w:val="21"/>
        </w:rPr>
        <w:t xml:space="preserve">A5	</w:t>
      </w:r>
      <w:r>
        <w:rPr>
          <w:rFonts w:ascii="Calibri" w:cs="Calibri" w:eastAsia="Calibri" w:hAnsi="Calibri"/>
          <w:sz w:val="21"/>
          <w:szCs w:val="21"/>
        </w:rPr>
        <w:t xml:space="preserve">The Seller is not insolvent, no insolvency or bankruptcy proceeding is pending or threatened against it, and the transfer is not liable to be avoided as a preference or an undervalue transaction.</w:t>
      </w:r>
    </w:p>
    <w:p>
      <w:pPr>
        <w:spacing w:after="120" w:before="60" w:line="276"/>
        <w:ind w:left="720" w:hanging="720"/>
        <w:jc w:val="both"/>
      </w:pPr>
      <w:r>
        <w:rPr>
          <w:rFonts w:ascii="Calibri" w:cs="Calibri" w:eastAsia="Calibri" w:hAnsi="Calibri"/>
          <w:sz w:val="21"/>
          <w:szCs w:val="21"/>
        </w:rPr>
        <w:t xml:space="preserve">A6	</w:t>
      </w:r>
      <w:r>
        <w:rPr>
          <w:rFonts w:ascii="Calibri" w:cs="Calibri" w:eastAsia="Calibri" w:hAnsi="Calibri"/>
          <w:sz w:val="21"/>
          <w:szCs w:val="21"/>
        </w:rPr>
        <w:t xml:space="preserve">The execution and performance of this Agreement does not breach any law, order or agreement binding on the Seller.</w:t>
      </w:r>
    </w:p>
    <w:p>
      <w:pPr>
        <w:spacing w:after="120" w:before="60" w:line="276"/>
        <w:ind w:left="720" w:hanging="720"/>
        <w:jc w:val="both"/>
      </w:pPr>
      <w:r>
        <w:rPr>
          <w:rFonts w:ascii="Calibri" w:cs="Calibri" w:eastAsia="Calibri" w:hAnsi="Calibri"/>
          <w:sz w:val="21"/>
          <w:szCs w:val="21"/>
        </w:rPr>
        <w:t xml:space="preserve">A7	</w:t>
      </w:r>
      <w:r>
        <w:rPr>
          <w:rFonts w:ascii="Calibri" w:cs="Calibri" w:eastAsia="Calibri" w:hAnsi="Calibri"/>
          <w:sz w:val="21"/>
          <w:szCs w:val="21"/>
        </w:rPr>
        <w:t xml:space="preserve">The Seller is </w:t>
      </w:r>
      <w:r>
        <w:rPr>
          <w:rFonts w:ascii="Calibri" w:cs="Calibri" w:eastAsia="Calibri" w:hAnsi="Calibri"/>
          <w:b/>
          <w:bCs/>
          <w:sz w:val="21"/>
          <w:szCs w:val="21"/>
        </w:rPr>
        <w:t xml:space="preserve">[a person resident in India / a person resident outside India]</w:t>
      </w:r>
      <w:r>
        <w:rPr>
          <w:rFonts w:ascii="Calibri" w:cs="Calibri" w:eastAsia="Calibri" w:hAnsi="Calibri"/>
          <w:sz w:val="21"/>
          <w:szCs w:val="21"/>
        </w:rPr>
        <w:t xml:space="preserve"> for the purposes of the Foreign Exchange Management Act, 1999 and </w:t>
      </w:r>
      <w:r>
        <w:rPr>
          <w:rFonts w:ascii="Calibri" w:cs="Calibri" w:eastAsia="Calibri" w:hAnsi="Calibri"/>
          <w:b/>
          <w:bCs/>
          <w:sz w:val="21"/>
          <w:szCs w:val="21"/>
        </w:rPr>
        <w:t xml:space="preserve">[a resident / a non-resident]</w:t>
      </w:r>
      <w:r>
        <w:rPr>
          <w:rFonts w:ascii="Calibri" w:cs="Calibri" w:eastAsia="Calibri" w:hAnsi="Calibri"/>
          <w:sz w:val="21"/>
          <w:szCs w:val="21"/>
        </w:rPr>
        <w:t xml:space="preserve"> for the purposes of the applicable income-tax legislation.</w:t>
      </w:r>
    </w:p>
    <w:p>
      <w:pPr>
        <w:keepNext/>
        <w:spacing w:after="100" w:before="200"/>
        <w:outlineLvl w:val="1"/>
      </w:pPr>
      <w:r>
        <w:rPr>
          <w:rFonts w:ascii="Calibri" w:cs="Calibri" w:eastAsia="Calibri" w:hAnsi="Calibri"/>
          <w:b/>
          <w:bCs/>
          <w:color w:val="14161B"/>
          <w:sz w:val="21"/>
          <w:szCs w:val="21"/>
        </w:rPr>
        <w:t xml:space="preserve">Part B — Business Warranties</w:t>
      </w:r>
    </w:p>
    <w:p>
      <w:pPr>
        <w:spacing w:after="120" w:before="0" w:line="276"/>
        <w:jc w:val="both"/>
      </w:pPr>
      <w:r>
        <w:rPr>
          <w:rFonts w:ascii="Calibri" w:cs="Calibri" w:eastAsia="Calibri" w:hAnsi="Calibri"/>
          <w:i/>
          <w:iCs/>
          <w:sz w:val="21"/>
          <w:szCs w:val="21"/>
        </w:rPr>
        <w:t xml:space="preserve">Include this Part only where the Seller is selling a control stake or is a founder with knowledge of the business. A minority financial seller normally gives Part A only. The full business warranty set in a share subscription agreement may be adopted here by reference.</w:t>
      </w:r>
    </w:p>
    <w:p>
      <w:pPr>
        <w:spacing w:after="120" w:before="60" w:line="276"/>
        <w:ind w:left="720" w:hanging="720"/>
        <w:jc w:val="both"/>
      </w:pPr>
      <w:r>
        <w:rPr>
          <w:rFonts w:ascii="Calibri" w:cs="Calibri" w:eastAsia="Calibri" w:hAnsi="Calibri"/>
          <w:sz w:val="21"/>
          <w:szCs w:val="21"/>
        </w:rPr>
        <w:t xml:space="preserve">B1	</w:t>
      </w:r>
      <w:r>
        <w:rPr>
          <w:rFonts w:ascii="Calibri" w:cs="Calibri" w:eastAsia="Calibri" w:hAnsi="Calibri"/>
          <w:sz w:val="21"/>
          <w:szCs w:val="21"/>
        </w:rPr>
        <w:t xml:space="preserve">The financial statements of the Company for the </w:t>
      </w:r>
      <w:r>
        <w:rPr>
          <w:rFonts w:ascii="Calibri" w:cs="Calibri" w:eastAsia="Calibri" w:hAnsi="Calibri"/>
          <w:b/>
          <w:bCs/>
          <w:sz w:val="21"/>
          <w:szCs w:val="21"/>
        </w:rPr>
        <w:t xml:space="preserve">[3]</w:t>
      </w:r>
      <w:r>
        <w:rPr>
          <w:rFonts w:ascii="Calibri" w:cs="Calibri" w:eastAsia="Calibri" w:hAnsi="Calibri"/>
          <w:sz w:val="21"/>
          <w:szCs w:val="21"/>
        </w:rPr>
        <w:t xml:space="preserve"> financial years ended </w:t>
      </w:r>
      <w:r>
        <w:rPr>
          <w:rFonts w:ascii="Calibri" w:cs="Calibri" w:eastAsia="Calibri" w:hAnsi="Calibri"/>
          <w:b/>
          <w:bCs/>
          <w:sz w:val="21"/>
          <w:szCs w:val="21"/>
        </w:rPr>
        <w:t xml:space="preserve">[DATE]</w:t>
      </w:r>
      <w:r>
        <w:rPr>
          <w:rFonts w:ascii="Calibri" w:cs="Calibri" w:eastAsia="Calibri" w:hAnsi="Calibri"/>
          <w:sz w:val="21"/>
          <w:szCs w:val="21"/>
        </w:rPr>
        <w:t xml:space="preserve"> give a true and fair view of its state of affairs, and the management accounts to </w:t>
      </w:r>
      <w:r>
        <w:rPr>
          <w:rFonts w:ascii="Calibri" w:cs="Calibri" w:eastAsia="Calibri" w:hAnsi="Calibri"/>
          <w:b/>
          <w:bCs/>
          <w:sz w:val="21"/>
          <w:szCs w:val="21"/>
        </w:rPr>
        <w:t xml:space="preserve">[DATE]</w:t>
      </w:r>
      <w:r>
        <w:rPr>
          <w:rFonts w:ascii="Calibri" w:cs="Calibri" w:eastAsia="Calibri" w:hAnsi="Calibri"/>
          <w:sz w:val="21"/>
          <w:szCs w:val="21"/>
        </w:rPr>
        <w:t xml:space="preserve"> have been prepared with due care.</w:t>
      </w:r>
    </w:p>
    <w:p>
      <w:pPr>
        <w:spacing w:after="120" w:before="60" w:line="276"/>
        <w:ind w:left="720" w:hanging="720"/>
        <w:jc w:val="both"/>
      </w:pPr>
      <w:r>
        <w:rPr>
          <w:rFonts w:ascii="Calibri" w:cs="Calibri" w:eastAsia="Calibri" w:hAnsi="Calibri"/>
          <w:sz w:val="21"/>
          <w:szCs w:val="21"/>
        </w:rPr>
        <w:t xml:space="preserve">B2	</w:t>
      </w:r>
      <w:r>
        <w:rPr>
          <w:rFonts w:ascii="Calibri" w:cs="Calibri" w:eastAsia="Calibri" w:hAnsi="Calibri"/>
          <w:sz w:val="21"/>
          <w:szCs w:val="21"/>
        </w:rPr>
        <w:t xml:space="preserve">Since the last audited balance sheet date the Business has been carried on in the ordinary course and there has been no material adverse change.</w:t>
      </w:r>
    </w:p>
    <w:p>
      <w:pPr>
        <w:spacing w:after="120" w:before="60" w:line="276"/>
        <w:ind w:left="720" w:hanging="720"/>
        <w:jc w:val="both"/>
      </w:pPr>
      <w:r>
        <w:rPr>
          <w:rFonts w:ascii="Calibri" w:cs="Calibri" w:eastAsia="Calibri" w:hAnsi="Calibri"/>
          <w:sz w:val="21"/>
          <w:szCs w:val="21"/>
        </w:rPr>
        <w:t xml:space="preserve">B3	</w:t>
      </w:r>
      <w:r>
        <w:rPr>
          <w:rFonts w:ascii="Calibri" w:cs="Calibri" w:eastAsia="Calibri" w:hAnsi="Calibri"/>
          <w:sz w:val="21"/>
          <w:szCs w:val="21"/>
        </w:rPr>
        <w:t xml:space="preserve">The statutory registers, minute books and filings of the Company are complete and up to date, and the Company holds all licences required for the Business.</w:t>
      </w:r>
    </w:p>
    <w:p>
      <w:pPr>
        <w:spacing w:after="120" w:before="60" w:line="276"/>
        <w:ind w:left="720" w:hanging="720"/>
        <w:jc w:val="both"/>
      </w:pPr>
      <w:r>
        <w:rPr>
          <w:rFonts w:ascii="Calibri" w:cs="Calibri" w:eastAsia="Calibri" w:hAnsi="Calibri"/>
          <w:sz w:val="21"/>
          <w:szCs w:val="21"/>
        </w:rPr>
        <w:t xml:space="preserve">B4	</w:t>
      </w:r>
      <w:r>
        <w:rPr>
          <w:rFonts w:ascii="Calibri" w:cs="Calibri" w:eastAsia="Calibri" w:hAnsi="Calibri"/>
          <w:sz w:val="21"/>
          <w:szCs w:val="21"/>
        </w:rPr>
        <w:t xml:space="preserve">The Company has complied in all material respects with applicable law, including company, tax, goods and services tax, labour, data protection and exchange control legislation, and has paid all taxes due and deducted and deposited tax at source where required.</w:t>
      </w:r>
    </w:p>
    <w:p>
      <w:pPr>
        <w:spacing w:after="120" w:before="60" w:line="276"/>
        <w:ind w:left="720" w:hanging="720"/>
        <w:jc w:val="both"/>
      </w:pPr>
      <w:r>
        <w:rPr>
          <w:rFonts w:ascii="Calibri" w:cs="Calibri" w:eastAsia="Calibri" w:hAnsi="Calibri"/>
          <w:sz w:val="21"/>
          <w:szCs w:val="21"/>
        </w:rPr>
        <w:t xml:space="preserve">B5	</w:t>
      </w:r>
      <w:r>
        <w:rPr>
          <w:rFonts w:ascii="Calibri" w:cs="Calibri" w:eastAsia="Calibri" w:hAnsi="Calibri"/>
          <w:sz w:val="21"/>
          <w:szCs w:val="21"/>
        </w:rPr>
        <w:t xml:space="preserve">The Company owns or is validly licensed to use all intellectual property used in the Business, and all intellectual property created by any founder, employee or contractor has been assigned to it in writing.</w:t>
      </w:r>
    </w:p>
    <w:p>
      <w:pPr>
        <w:spacing w:after="120" w:before="60" w:line="276"/>
        <w:ind w:left="720" w:hanging="720"/>
        <w:jc w:val="both"/>
      </w:pPr>
      <w:r>
        <w:rPr>
          <w:rFonts w:ascii="Calibri" w:cs="Calibri" w:eastAsia="Calibri" w:hAnsi="Calibri"/>
          <w:sz w:val="21"/>
          <w:szCs w:val="21"/>
        </w:rPr>
        <w:t xml:space="preserve">B6	</w:t>
      </w:r>
      <w:r>
        <w:rPr>
          <w:rFonts w:ascii="Calibri" w:cs="Calibri" w:eastAsia="Calibri" w:hAnsi="Calibri"/>
          <w:sz w:val="21"/>
          <w:szCs w:val="21"/>
        </w:rPr>
        <w:t xml:space="preserve">There is no litigation, arbitration or regulatory proceeding pending or threatened against the Company, and the Company is not subject to any subsisting order or undertaking restricting the Business.</w:t>
      </w:r>
    </w:p>
    <w:p>
      <w:pPr>
        <w:spacing w:after="120" w:before="60" w:line="276"/>
        <w:ind w:left="720" w:hanging="720"/>
        <w:jc w:val="both"/>
      </w:pPr>
      <w:r>
        <w:rPr>
          <w:rFonts w:ascii="Calibri" w:cs="Calibri" w:eastAsia="Calibri" w:hAnsi="Calibri"/>
          <w:sz w:val="21"/>
          <w:szCs w:val="21"/>
        </w:rPr>
        <w:t xml:space="preserve">B7	</w:t>
      </w:r>
      <w:r>
        <w:rPr>
          <w:rFonts w:ascii="Calibri" w:cs="Calibri" w:eastAsia="Calibri" w:hAnsi="Calibri"/>
          <w:sz w:val="21"/>
          <w:szCs w:val="21"/>
        </w:rPr>
        <w:t xml:space="preserve">The Company has no indebtedness, guarantee or contingent liability other than as disclosed, and no asset of the Company is subject to any Encumbrance other than as disclosed.</w:t>
      </w:r>
    </w:p>
    <w:p>
      <w:pPr>
        <w:spacing w:after="120" w:before="60" w:line="276"/>
        <w:ind w:left="720" w:hanging="720"/>
        <w:jc w:val="both"/>
      </w:pPr>
      <w:r>
        <w:rPr>
          <w:rFonts w:ascii="Calibri" w:cs="Calibri" w:eastAsia="Calibri" w:hAnsi="Calibri"/>
          <w:sz w:val="21"/>
          <w:szCs w:val="21"/>
        </w:rPr>
        <w:t xml:space="preserve">B8	</w:t>
      </w:r>
      <w:r>
        <w:rPr>
          <w:rFonts w:ascii="Calibri" w:cs="Calibri" w:eastAsia="Calibri" w:hAnsi="Calibri"/>
          <w:sz w:val="21"/>
          <w:szCs w:val="21"/>
        </w:rPr>
        <w:t xml:space="preserve">There is no agreement or arrangement between the Company and the Seller or any relative or affiliate of the Seller which is not on arm’s length terms or which has not been approved as required by law.</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6</w:t>
      </w:r>
    </w:p>
    <w:p>
      <w:pPr>
        <w:spacing w:after="260"/>
        <w:jc w:val="center"/>
      </w:pPr>
      <w:r>
        <w:rPr>
          <w:rFonts w:ascii="Calibri" w:cs="Calibri" w:eastAsia="Calibri" w:hAnsi="Calibri"/>
          <w:i/>
          <w:iCs/>
          <w:color w:val="6E7480"/>
          <w:sz w:val="19"/>
          <w:szCs w:val="19"/>
        </w:rPr>
        <w:t xml:space="preserve">Form of Deed of Release</w:t>
      </w:r>
    </w:p>
    <w:p>
      <w:pPr>
        <w:spacing w:after="140" w:before="0" w:line="276"/>
        <w:jc w:val="both"/>
      </w:pPr>
      <w:r>
        <w:rPr>
          <w:rFonts w:ascii="Calibri" w:cs="Calibri" w:eastAsia="Calibri" w:hAnsi="Calibri"/>
          <w:b/>
          <w:bCs/>
          <w:sz w:val="21"/>
          <w:szCs w:val="21"/>
        </w:rPr>
        <w:t xml:space="preserve">THIS DEED OF RELEASE</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r>
        <w:rPr>
          <w:rFonts w:ascii="Calibri" w:cs="Calibri" w:eastAsia="Calibri" w:hAnsi="Calibri"/>
          <w:sz w:val="21"/>
          <w:szCs w:val="21"/>
        </w:rPr>
        <w:t xml:space="preserve"> by </w:t>
      </w:r>
      <w:r>
        <w:rPr>
          <w:rFonts w:ascii="Calibri" w:cs="Calibri" w:eastAsia="Calibri" w:hAnsi="Calibri"/>
          <w:b/>
          <w:bCs/>
          <w:sz w:val="21"/>
          <w:szCs w:val="21"/>
        </w:rPr>
        <w:t xml:space="preserve">[SELLER NAME]</w:t>
      </w:r>
      <w:r>
        <w:rPr>
          <w:rFonts w:ascii="Calibri" w:cs="Calibri" w:eastAsia="Calibri" w:hAnsi="Calibri"/>
          <w:sz w:val="21"/>
          <w:szCs w:val="21"/>
        </w:rPr>
        <w:t xml:space="preserve"> (the "</w:t>
      </w:r>
      <w:r>
        <w:rPr>
          <w:rFonts w:ascii="Calibri" w:cs="Calibri" w:eastAsia="Calibri" w:hAnsi="Calibri"/>
          <w:b/>
          <w:bCs/>
          <w:sz w:val="21"/>
          <w:szCs w:val="21"/>
        </w:rPr>
        <w:t xml:space="preserve">Releasor</w:t>
      </w:r>
      <w:r>
        <w:rPr>
          <w:rFonts w:ascii="Calibri" w:cs="Calibri" w:eastAsia="Calibri" w:hAnsi="Calibri"/>
          <w:sz w:val="21"/>
          <w:szCs w:val="21"/>
        </w:rPr>
        <w:t xml:space="preserve">") in favour of </w:t>
      </w:r>
      <w:r>
        <w:rPr>
          <w:rFonts w:ascii="Calibri" w:cs="Calibri" w:eastAsia="Calibri" w:hAnsi="Calibri"/>
          <w:b/>
          <w:bCs/>
          <w:sz w:val="21"/>
          <w:szCs w:val="21"/>
        </w:rPr>
        <w:t xml:space="preserve">[COMPANY NAME]</w:t>
      </w:r>
      <w:r>
        <w:rPr>
          <w:rFonts w:ascii="Calibri" w:cs="Calibri" w:eastAsia="Calibri" w:hAnsi="Calibri"/>
          <w:sz w:val="21"/>
          <w:szCs w:val="21"/>
        </w:rPr>
        <w:t xml:space="preserve"> and its directors, officers and employees (the "</w:t>
      </w:r>
      <w:r>
        <w:rPr>
          <w:rFonts w:ascii="Calibri" w:cs="Calibri" w:eastAsia="Calibri" w:hAnsi="Calibri"/>
          <w:b/>
          <w:bCs/>
          <w:sz w:val="21"/>
          <w:szCs w:val="21"/>
        </w:rPr>
        <w:t xml:space="preserve">Released Parties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The Releasor confirms that, save as expressly set out in Clause 3, it has no claim of any nature against any Released Party, whether in respect of its shareholding, any loan or advance, any office held, any remuneration, reimbursement, bonus, incentive, stock option or other entitlement, or otherwise.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The Releasor irrevocably and unconditionally releases and discharges each Released Party from all claims, demands, actions and liabilities, whether present or future, known or unknown, arising out of or in connection with the Releasor’s shareholding in, employment or engagement with, or office held in, the Company, up to the date of this Deed.</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Nothing in this Deed releases any claim in respect of </w:t>
      </w:r>
      <w:r>
        <w:rPr>
          <w:rFonts w:ascii="Calibri" w:cs="Calibri" w:eastAsia="Calibri" w:hAnsi="Calibri"/>
          <w:b/>
          <w:bCs/>
          <w:sz w:val="21"/>
          <w:szCs w:val="21"/>
        </w:rPr>
        <w:t xml:space="preserve">[DESCRIBE ANY PRESERVED CLAIMS — e.g. accrued and unpaid salary for the month of ______, reimbursement of expenses submitted on ______, or the Company’s obligations under Clause ______ of the Share Purchase Agreement; state "none" if there are none]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The Releasor confirms that it has taken independent advice or has had the opportunity to do so, and enters into this Deed freely.</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This Deed is governed by the laws of India.</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[SELLER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Notices and Payment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2891"/>
        <w:gridCol w:w="2120"/>
        <w:gridCol w:w="3085"/>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account for payment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NUMBER, BANK, IFSC]</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Purchaser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Escrow Agent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[ESCROW ACCOUNT DETAILS]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secondary is not a fundraise</w:t>
      </w:r>
    </w:p>
    <w:p>
      <w:pPr>
        <w:spacing w:after="60" w:line="264"/>
        <w:jc w:val="both"/>
      </w:pPr>
      <w:r>
        <w:rPr>
          <w:rFonts w:ascii="Calibri" w:cs="Calibri" w:eastAsia="Calibri" w:hAnsi="Calibri"/>
          <w:sz w:val="19"/>
          <w:szCs w:val="19"/>
        </w:rPr>
        <w:t xml:space="preserve">The consideration goes to the seller, not to the company. The company is a confirming party because it must register the transfer and because the purchaser wants comfort on the register and the absence of encumbrances — not because it receives anything. Founders sometimes conflate the two in the same round; keep the documents separate and the money flows clear.</w:t>
      </w:r>
    </w:p>
    <w:p>
      <w:pPr>
        <w:keepNext/>
        <w:spacing w:after="40" w:before="140"/>
      </w:pPr>
      <w:r>
        <w:rPr>
          <w:rFonts w:ascii="Calibri" w:cs="Calibri" w:eastAsia="Calibri" w:hAnsi="Calibri"/>
          <w:b/>
          <w:bCs/>
          <w:color w:val="14161B"/>
          <w:sz w:val="20"/>
          <w:szCs w:val="20"/>
        </w:rPr>
        <w:t xml:space="preserve">Withholding is the mechanical risk</w:t>
      </w:r>
    </w:p>
    <w:p>
      <w:pPr>
        <w:spacing w:after="60" w:line="264"/>
        <w:jc w:val="both"/>
      </w:pPr>
      <w:r>
        <w:rPr>
          <w:rFonts w:ascii="Calibri" w:cs="Calibri" w:eastAsia="Calibri" w:hAnsi="Calibri"/>
          <w:sz w:val="19"/>
          <w:szCs w:val="19"/>
        </w:rPr>
        <w:t xml:space="preserve">Where the seller is a non-resident, the purchaser is obliged to withhold tax on the sums paid and is personally liable for any shortfall, together with interest and penalty, irrespective of whether the seller ultimately pays. This is the single largest practical exposure in a cross-border secondary. Clauses 3.3, 3.4 and 7.1 allocate it, but allocation is not protection if the seller has left the jurisdiction — which is why a holdback or escrow is usual. Note also that the withholding provisions were consolidated into a single section of the Income-tax Act, 2025 with effect from 1 April 2026; quote the current section on the challan, not the old 194-series or 195 numbering.</w:t>
      </w:r>
    </w:p>
    <w:p>
      <w:pPr>
        <w:keepNext/>
        <w:spacing w:after="40" w:before="140"/>
      </w:pPr>
      <w:r>
        <w:rPr>
          <w:rFonts w:ascii="Calibri" w:cs="Calibri" w:eastAsia="Calibri" w:hAnsi="Calibri"/>
          <w:b/>
          <w:bCs/>
          <w:color w:val="14161B"/>
          <w:sz w:val="20"/>
          <w:szCs w:val="20"/>
        </w:rPr>
        <w:t xml:space="preserve">Lower-deduction certificate</w:t>
      </w:r>
    </w:p>
    <w:p>
      <w:pPr>
        <w:spacing w:after="60" w:line="264"/>
        <w:jc w:val="both"/>
      </w:pPr>
      <w:r>
        <w:rPr>
          <w:rFonts w:ascii="Calibri" w:cs="Calibri" w:eastAsia="Calibri" w:hAnsi="Calibri"/>
          <w:sz w:val="19"/>
          <w:szCs w:val="19"/>
        </w:rPr>
        <w:t xml:space="preserve">A non-resident seller should apply for a certificate authorising deduction at a lower rate well before signing. Applications take weeks. Without one, the purchaser will withhold at the full rate and the seller carries the cash-flow cost until it files a return and claims a refund. Build the timeline into the conditions precedent.</w:t>
      </w:r>
    </w:p>
    <w:p>
      <w:pPr>
        <w:keepNext/>
        <w:spacing w:after="40" w:before="140"/>
      </w:pPr>
      <w:r>
        <w:rPr>
          <w:rFonts w:ascii="Calibri" w:cs="Calibri" w:eastAsia="Calibri" w:hAnsi="Calibri"/>
          <w:b/>
          <w:bCs/>
          <w:color w:val="14161B"/>
          <w:sz w:val="20"/>
          <w:szCs w:val="20"/>
        </w:rPr>
        <w:t xml:space="preserve">FEMA pricing on a secondary</w:t>
      </w:r>
    </w:p>
    <w:p>
      <w:pPr>
        <w:spacing w:after="60" w:line="264"/>
        <w:jc w:val="both"/>
      </w:pPr>
      <w:r>
        <w:rPr>
          <w:rFonts w:ascii="Calibri" w:cs="Calibri" w:eastAsia="Calibri" w:hAnsi="Calibri"/>
          <w:sz w:val="19"/>
          <w:szCs w:val="19"/>
        </w:rPr>
        <w:t xml:space="preserve">Where a resident sells to a non-resident, the price may not be below fair market value. Where a non-resident sells to a resident, the price may not be above fair market value. The floor and the ceiling run in opposite directions and a single valuation certificate serves both. The resident party to the transfer files Form FC-TRS with its authorised dealer bank within the prescribed period; the filing obligation does not sit with the non-resident.</w:t>
      </w:r>
    </w:p>
    <w:p>
      <w:pPr>
        <w:keepNext/>
        <w:spacing w:after="40" w:before="140"/>
      </w:pPr>
      <w:r>
        <w:rPr>
          <w:rFonts w:ascii="Calibri" w:cs="Calibri" w:eastAsia="Calibri" w:hAnsi="Calibri"/>
          <w:b/>
          <w:bCs/>
          <w:color w:val="14161B"/>
          <w:sz w:val="20"/>
          <w:szCs w:val="20"/>
        </w:rPr>
        <w:t xml:space="preserve">Form SH-4 and stamp duty</w:t>
      </w:r>
    </w:p>
    <w:p>
      <w:pPr>
        <w:spacing w:after="60" w:line="264"/>
        <w:jc w:val="both"/>
      </w:pPr>
      <w:r>
        <w:rPr>
          <w:rFonts w:ascii="Calibri" w:cs="Calibri" w:eastAsia="Calibri" w:hAnsi="Calibri"/>
          <w:sz w:val="19"/>
          <w:szCs w:val="19"/>
        </w:rPr>
        <w:t xml:space="preserve">The transfer deed must be in Form SH-4, executed by both transferor and transferee, and stamped before execution. Duty on the transfer of securities is charged under the Indian Stamp Act, 1899 as amended, collected through the depository or registrar where the shares are dematerialised, and by affixing stamps where they are physical. The deed must be delivered to the company within sixty days of execution. An unstamped or late-delivered SH-4 is a common and entirely avoidable defect.</w:t>
      </w:r>
    </w:p>
    <w:p>
      <w:pPr>
        <w:keepNext/>
        <w:spacing w:after="40" w:before="140"/>
      </w:pPr>
      <w:r>
        <w:rPr>
          <w:rFonts w:ascii="Calibri" w:cs="Calibri" w:eastAsia="Calibri" w:hAnsi="Calibri"/>
          <w:b/>
          <w:bCs/>
          <w:color w:val="14161B"/>
          <w:sz w:val="20"/>
          <w:szCs w:val="20"/>
        </w:rPr>
        <w:t xml:space="preserve">Waivers before anything else</w:t>
      </w:r>
    </w:p>
    <w:p>
      <w:pPr>
        <w:spacing w:after="60" w:line="264"/>
        <w:jc w:val="both"/>
      </w:pPr>
      <w:r>
        <w:rPr>
          <w:rFonts w:ascii="Calibri" w:cs="Calibri" w:eastAsia="Calibri" w:hAnsi="Calibri"/>
          <w:sz w:val="19"/>
          <w:szCs w:val="19"/>
        </w:rPr>
        <w:t xml:space="preserve">Almost every private company’s articles and shareholders’ agreement contain a right of first refusal and a tag-along. A transfer made without waiving them is voidable and the company may refuse to register it. Collect the written waivers first; they are the condition precedent most likely to delay completion because they depend on people who are not in the room.</w:t>
      </w:r>
    </w:p>
    <w:p>
      <w:pPr>
        <w:keepNext/>
        <w:spacing w:after="40" w:before="140"/>
      </w:pPr>
      <w:r>
        <w:rPr>
          <w:rFonts w:ascii="Calibri" w:cs="Calibri" w:eastAsia="Calibri" w:hAnsi="Calibri"/>
          <w:b/>
          <w:bCs/>
          <w:color w:val="14161B"/>
          <w:sz w:val="20"/>
          <w:szCs w:val="20"/>
        </w:rPr>
        <w:t xml:space="preserve">What warranties a seller should give</w:t>
      </w:r>
    </w:p>
    <w:p>
      <w:pPr>
        <w:spacing w:after="60" w:line="264"/>
        <w:jc w:val="both"/>
      </w:pPr>
      <w:r>
        <w:rPr>
          <w:rFonts w:ascii="Calibri" w:cs="Calibri" w:eastAsia="Calibri" w:hAnsi="Calibri"/>
          <w:sz w:val="19"/>
          <w:szCs w:val="19"/>
        </w:rPr>
        <w:t xml:space="preserve">A departing founder selling control gives business warranties. A financial investor selling a minority stake gives title and capacity warranties only, and should refuse the rest — it has no ability to verify the business and no continuing involvement. Clause 6.2 flags the choice. Do not let a Part B warranty set drift into a minority secondary by inertia.</w:t>
      </w:r>
    </w:p>
    <w:p>
      <w:pPr>
        <w:keepNext/>
        <w:spacing w:after="40" w:before="140"/>
      </w:pPr>
      <w:r>
        <w:rPr>
          <w:rFonts w:ascii="Calibri" w:cs="Calibri" w:eastAsia="Calibri" w:hAnsi="Calibri"/>
          <w:b/>
          <w:bCs/>
          <w:color w:val="14161B"/>
          <w:sz w:val="20"/>
          <w:szCs w:val="20"/>
        </w:rPr>
        <w:t xml:space="preserve">The goodwill exception to Section 27</w:t>
      </w:r>
    </w:p>
    <w:p>
      <w:pPr>
        <w:spacing w:after="60" w:line="264"/>
        <w:jc w:val="both"/>
      </w:pPr>
      <w:r>
        <w:rPr>
          <w:rFonts w:ascii="Calibri" w:cs="Calibri" w:eastAsia="Calibri" w:hAnsi="Calibri"/>
          <w:sz w:val="19"/>
          <w:szCs w:val="19"/>
        </w:rPr>
        <w:t xml:space="preserve">Section 27 of the Indian Contract Act, 1872 voids restraints of trade, with a statutory exception permitting a reasonable restraint on a person who sells the goodwill of a business. That exception can support a non-compete where the seller is genuinely selling a business with its goodwill, within a specified local area and for a reasonable period. It does not support a non-compete on a simple sale of shares by a departing shareholder. Clause 8.4 therefore imposes confidentiality and non-solicitation only; take advice before adding more.</w:t>
      </w:r>
    </w:p>
    <w:p>
      <w:pPr>
        <w:keepNext/>
        <w:spacing w:after="40" w:before="140"/>
      </w:pPr>
      <w:r>
        <w:rPr>
          <w:rFonts w:ascii="Calibri" w:cs="Calibri" w:eastAsia="Calibri" w:hAnsi="Calibri"/>
          <w:b/>
          <w:bCs/>
          <w:color w:val="14161B"/>
          <w:sz w:val="20"/>
          <w:szCs w:val="20"/>
        </w:rPr>
        <w:t xml:space="preserve">Escrow or holdback</w:t>
      </w:r>
    </w:p>
    <w:p>
      <w:pPr>
        <w:spacing w:after="60" w:line="264"/>
        <w:jc w:val="both"/>
      </w:pPr>
      <w:r>
        <w:rPr>
          <w:rFonts w:ascii="Calibri" w:cs="Calibri" w:eastAsia="Calibri" w:hAnsi="Calibri"/>
          <w:sz w:val="19"/>
          <w:szCs w:val="19"/>
        </w:rPr>
        <w:t xml:space="preserve">Eighteen months and ten to fifteen per cent of the consideration is a common starting point. The alternative — relying on a personal covenant from a seller who has already been paid and may have emigrated — is not really an alternative. If the seller resists an escrow, a staged payment achieves much the same result.</w:t>
      </w:r>
    </w:p>
    <w:p>
      <w:pPr>
        <w:keepNext/>
        <w:spacing w:after="40" w:before="140"/>
      </w:pPr>
      <w:r>
        <w:rPr>
          <w:rFonts w:ascii="Calibri" w:cs="Calibri" w:eastAsia="Calibri" w:hAnsi="Calibri"/>
          <w:b/>
          <w:bCs/>
          <w:color w:val="14161B"/>
          <w:sz w:val="20"/>
          <w:szCs w:val="20"/>
        </w:rPr>
        <w:t xml:space="preserve">Interdependence and the register</w:t>
      </w:r>
    </w:p>
    <w:p>
      <w:pPr>
        <w:spacing w:after="60" w:line="264"/>
        <w:jc w:val="both"/>
      </w:pPr>
      <w:r>
        <w:rPr>
          <w:rFonts w:ascii="Calibri" w:cs="Calibri" w:eastAsia="Calibri" w:hAnsi="Calibri"/>
          <w:sz w:val="19"/>
          <w:szCs w:val="19"/>
        </w:rPr>
        <w:t xml:space="preserve">Legal title passes on registration in the register of members, not on execution of the transfer deed. Clause 4.5 and Clause 8.2 make the company do this at completion and evidence it within seven business days. Purchasers who accept a promise to register later frequently find themselves chasing it for months.</w:t>
      </w:r>
    </w:p>
    <w:p>
      <w:pPr>
        <w:keepNext/>
        <w:spacing w:after="40" w:before="140"/>
      </w:pPr>
      <w:r>
        <w:rPr>
          <w:rFonts w:ascii="Calibri" w:cs="Calibri" w:eastAsia="Calibri" w:hAnsi="Calibri"/>
          <w:b/>
          <w:bCs/>
          <w:color w:val="14161B"/>
          <w:sz w:val="20"/>
          <w:szCs w:val="20"/>
        </w:rPr>
        <w:t xml:space="preserve">Deed of release</w:t>
      </w:r>
    </w:p>
    <w:p>
      <w:pPr>
        <w:spacing w:after="60" w:line="264"/>
        <w:jc w:val="both"/>
      </w:pPr>
      <w:r>
        <w:rPr>
          <w:rFonts w:ascii="Calibri" w:cs="Calibri" w:eastAsia="Calibri" w:hAnsi="Calibri"/>
          <w:sz w:val="19"/>
          <w:szCs w:val="19"/>
        </w:rPr>
        <w:t xml:space="preserve">A departing founder or shareholder should give a release. Schedule 6 requires preserved claims to be listed expressly, including a statement that there are none. A release that is silent on preserved claims is the one that produces litigation about unpaid salary six months later.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Withholding rates, exchange-control reporting and stamp duty change frequently — confirm the position at the time of the transaction and have the agreement settled by counsel.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2026-08-21T12:53:53.226Z</dcterms:created>
  <dcterms:modified xsi:type="dcterms:W3CDTF">2026-08-21T12:53:53.226Z</dcterms:modified>
</cp:coreProperties>
</file>

<file path=docProps/custom.xml><?xml version="1.0" encoding="utf-8"?>
<Properties xmlns="http://schemas.openxmlformats.org/officeDocument/2006/custom-properties" xmlns:vt="http://schemas.openxmlformats.org/officeDocument/2006/docPropsVTypes"/>
</file>