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RESTRICTED STOCK UNIT PLAN</w:t>
      </w:r>
    </w:p>
    <w:p>
      <w:pPr>
        <w:spacing w:after="260"/>
        <w:jc w:val="center"/>
      </w:pP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Restricted Stock Unit Plan </w:t>
      </w:r>
      <w:r>
        <w:rPr>
          <w:rFonts w:ascii="Calibri" w:cs="Calibri" w:eastAsia="Calibri" w:hAnsi="Calibri"/>
          <w:b/>
          <w:bCs/>
          <w:i/>
          <w:iCs/>
          <w:color w:val="6E7480"/>
          <w:sz w:val="19"/>
          <w:szCs w:val="19"/>
        </w:rPr>
        <w:t xml:space="preserve">[YEAR]</w:t>
      </w:r>
    </w:p>
    <w:p>
      <w:pPr>
        <w:spacing w:after="180" w:before="0" w:line="276"/>
        <w:jc w:val="both"/>
      </w:pPr>
      <w:r>
        <w:rPr>
          <w:rFonts w:ascii="Calibri" w:cs="Calibri" w:eastAsia="Calibri" w:hAnsi="Calibri"/>
          <w:i/>
          <w:iCs/>
          <w:color w:val="6E7480"/>
          <w:sz w:val="21"/>
          <w:szCs w:val="21"/>
        </w:rPr>
        <w:t xml:space="preserve">India has no separate statutory framework for restricted stock units. In an unlisted Indian company an RSU is almost always implemented as an option with a nominal exercise price, granted under the employee stock option framework, so that the company law route is one that actually exists. This plan is drafted on that basis — read the notes before adopting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of the plan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b/>
                <w:bCs/>
                <w:sz w:val="19"/>
                <w:szCs w:val="19"/>
              </w:rPr>
              <w:t xml:space="preserve"> Restricted Stock Unit Plan </w:t>
            </w:r>
            <w:r>
              <w:rPr>
                <w:rFonts w:ascii="Calibri" w:cs="Calibri" w:eastAsia="Calibri" w:hAnsi="Calibri"/>
                <w:b/>
                <w:bCs/>
                <w:sz w:val="19"/>
                <w:szCs w:val="19"/>
              </w:rPr>
              <w:t xml:space="preserve">[YEAR]</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Legal form of the award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 option to subscribe for one equity share at an exercise price equal to the face value of ₹ </w:t>
            </w:r>
            <w:r>
              <w:rPr>
                <w:rFonts w:ascii="Calibri" w:cs="Calibri" w:eastAsia="Calibri" w:hAnsi="Calibri"/>
                <w:b/>
                <w:bCs/>
                <w:sz w:val="19"/>
                <w:szCs w:val="19"/>
              </w:rPr>
              <w:t xml:space="preserve">[FACE VALUE]</w:t>
            </w:r>
            <w:r>
              <w:rPr>
                <w:rFonts w:ascii="Calibri" w:cs="Calibri" w:eastAsia="Calibri" w:hAnsi="Calibri"/>
                <w:sz w:val="19"/>
                <w:szCs w:val="19"/>
              </w:rPr>
              <w:t xml:space="preserve">, granted under the employee stock option framework</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approval</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Members’ approval</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Units authorised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being </w:t>
            </w:r>
            <w:r>
              <w:rPr>
                <w:rFonts w:ascii="Calibri" w:cs="Calibri" w:eastAsia="Calibri" w:hAnsi="Calibri"/>
                <w:b/>
                <w:bCs/>
                <w:sz w:val="19"/>
                <w:szCs w:val="19"/>
              </w:rPr>
              <w:t xml:space="preserve">[PERCENTAGE]</w:t>
            </w:r>
            <w:r>
              <w:rPr>
                <w:rFonts w:ascii="Calibri" w:cs="Calibri" w:eastAsia="Calibri" w:hAnsi="Calibri"/>
                <w:sz w:val="19"/>
                <w:szCs w:val="19"/>
              </w:rPr>
              <w:t xml:space="preserve"> per cent on a fully diluted basis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Relationship to the option scheme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i/>
                <w:iCs/>
                <w:sz w:val="19"/>
                <w:szCs w:val="19"/>
              </w:rPr>
              <w:t xml:space="preserve">Units are drawn from the pool authorised under the </w:t>
            </w:r>
            <w:r>
              <w:rPr>
                <w:rFonts w:ascii="Calibri" w:cs="Calibri" w:eastAsia="Calibri" w:hAnsi="Calibri"/>
                <w:b/>
                <w:bCs/>
                <w:i/>
                <w:iCs/>
                <w:sz w:val="19"/>
                <w:szCs w:val="19"/>
              </w:rPr>
              <w:t xml:space="preserve">[COMPANY NAME]</w:t>
            </w:r>
            <w:r>
              <w:rPr>
                <w:rFonts w:ascii="Calibri" w:cs="Calibri" w:eastAsia="Calibri" w:hAnsi="Calibri"/>
                <w:i/>
                <w:iCs/>
                <w:sz w:val="19"/>
                <w:szCs w:val="19"/>
              </w:rPr>
              <w:t xml:space="preserve"> Employee Stock Option Scheme </w:t>
            </w:r>
            <w:r>
              <w:rPr>
                <w:rFonts w:ascii="Calibri" w:cs="Calibri" w:eastAsia="Calibri" w:hAnsi="Calibri"/>
                <w:b/>
                <w:bCs/>
                <w:i/>
                <w:iCs/>
                <w:sz w:val="19"/>
                <w:szCs w:val="19"/>
              </w:rPr>
              <w:t xml:space="preserve">[YEAR]</w:t>
            </w:r>
            <w:r>
              <w:rPr>
                <w:rFonts w:ascii="Calibri" w:cs="Calibri" w:eastAsia="Calibri" w:hAnsi="Calibri"/>
                <w:i/>
                <w:iCs/>
                <w:sz w:val="19"/>
                <w:szCs w:val="19"/>
              </w:rPr>
              <w:t xml:space="preserve">, or from a separate pool authorised for this Plan — specify which</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Administered by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Board </w:t>
            </w:r>
            <w:r>
              <w:rPr>
                <w:rFonts w:ascii="Calibri" w:cs="Calibri" w:eastAsia="Calibri" w:hAnsi="Calibri"/>
                <w:b/>
                <w:bCs/>
                <w:sz w:val="19"/>
                <w:szCs w:val="19"/>
              </w:rPr>
              <w:t xml:space="preserve">[, acting through the Compensation Committee]</w:t>
            </w:r>
          </w:p>
        </w:tc>
      </w:tr>
    </w:tbl>
    <w:p>
      <w:pPr>
        <w:spacing w:after="200"/>
      </w:pPr>
    </w:p>
    <w:p>
      <w:pPr>
        <w:keepNext/>
        <w:spacing w:after="120" w:before="280"/>
        <w:outlineLvl w:val="0"/>
      </w:pPr>
      <w:r>
        <w:rPr>
          <w:rFonts w:ascii="Calibri" w:cs="Calibri" w:eastAsia="Calibri" w:hAnsi="Calibri"/>
          <w:b/>
          <w:bCs/>
          <w:color w:val="14161B"/>
          <w:sz w:val="22"/>
          <w:szCs w:val="22"/>
        </w:rPr>
        <w:t xml:space="preserve">1. PURPOSE AND NATURE OF AN RSU</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purpose of this Plan is to reward and retain employees by granting them a right to receive equity shares of the Company, subject to vesting and to the conditions set out below.</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A "</w:t>
      </w:r>
      <w:r>
        <w:rPr>
          <w:rFonts w:ascii="Calibri" w:cs="Calibri" w:eastAsia="Calibri" w:hAnsi="Calibri"/>
          <w:b/>
          <w:bCs/>
          <w:sz w:val="21"/>
          <w:szCs w:val="21"/>
        </w:rPr>
        <w:t xml:space="preserve">Restricted Stock Unit</w:t>
      </w:r>
      <w:r>
        <w:rPr>
          <w:rFonts w:ascii="Calibri" w:cs="Calibri" w:eastAsia="Calibri" w:hAnsi="Calibri"/>
          <w:sz w:val="21"/>
          <w:szCs w:val="21"/>
        </w:rPr>
        <w:t xml:space="preserve">" or "</w:t>
      </w:r>
      <w:r>
        <w:rPr>
          <w:rFonts w:ascii="Calibri" w:cs="Calibri" w:eastAsia="Calibri" w:hAnsi="Calibri"/>
          <w:b/>
          <w:bCs/>
          <w:sz w:val="21"/>
          <w:szCs w:val="21"/>
        </w:rPr>
        <w:t xml:space="preserve">Unit</w:t>
      </w:r>
      <w:r>
        <w:rPr>
          <w:rFonts w:ascii="Calibri" w:cs="Calibri" w:eastAsia="Calibri" w:hAnsi="Calibri"/>
          <w:sz w:val="21"/>
          <w:szCs w:val="21"/>
        </w:rPr>
        <w:t xml:space="preserve">" granted under this Plan is a right, conditional on vesting, to subscribe for one equity share of the Company at an exercise price equal to the face value of that share. A Unit is not itself a share and confers no rights of a shareholder until the corresponding share is allotted.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Units are granted, vest and are settled under the employee stock option framework of the Companies Act, 2013 and the rules made under it, and every requirement applicable to employee stock options applies to Units, including the definition of an eligible employee, the minimum period between grant and vesting, the prohibition on transfer, and the requirement to maintain the prescribed register.</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Terms defined in the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Employee Stock Option Scheme </w:t>
      </w:r>
      <w:r>
        <w:rPr>
          <w:rFonts w:ascii="Calibri" w:cs="Calibri" w:eastAsia="Calibri" w:hAnsi="Calibri"/>
          <w:b/>
          <w:bCs/>
          <w:sz w:val="21"/>
          <w:szCs w:val="21"/>
        </w:rPr>
        <w:t xml:space="preserve">[YEAR]</w:t>
      </w:r>
      <w:r>
        <w:rPr>
          <w:rFonts w:ascii="Calibri" w:cs="Calibri" w:eastAsia="Calibri" w:hAnsi="Calibri"/>
          <w:sz w:val="21"/>
          <w:szCs w:val="21"/>
        </w:rPr>
        <w:t xml:space="preserve"> have the same meaning in this Plan unless otherwise stated. Where this Plan and that Scheme conflict, that Scheme prevails.</w:t>
      </w:r>
    </w:p>
    <w:p>
      <w:pPr>
        <w:keepNext/>
        <w:spacing w:after="120" w:before="280"/>
        <w:outlineLvl w:val="0"/>
      </w:pPr>
      <w:r>
        <w:rPr>
          <w:rFonts w:ascii="Calibri" w:cs="Calibri" w:eastAsia="Calibri" w:hAnsi="Calibri"/>
          <w:b/>
          <w:bCs/>
          <w:color w:val="14161B"/>
          <w:sz w:val="22"/>
          <w:szCs w:val="22"/>
        </w:rPr>
        <w:t xml:space="preserve">2. ELIGIBILITY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Units may be granted only to an Employee as defined in the Scheme, being a permanent employee of the Company or of its subsidiary, holding or associate company, or a director other than an independent director, and excluding a promoter, a member of the promoter group, and a director holding more than the prescribed percentage of the equity shares, </w:t>
      </w:r>
      <w:r>
        <w:rPr>
          <w:rFonts w:ascii="Calibri" w:cs="Calibri" w:eastAsia="Calibri" w:hAnsi="Calibri"/>
          <w:b/>
          <w:bCs/>
          <w:sz w:val="21"/>
          <w:szCs w:val="21"/>
        </w:rPr>
        <w:t xml:space="preserve">[save to the extent the Company, as a recognised startup, is relieved from those exclusions for the period permitted]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No Employee has a right to a Grant, and a Grant in one year creates no entitlement to a Grant in any subsequent year.</w:t>
      </w:r>
    </w:p>
    <w:p>
      <w:pPr>
        <w:keepNext/>
        <w:spacing w:after="120" w:before="280"/>
        <w:outlineLvl w:val="0"/>
      </w:pPr>
      <w:r>
        <w:rPr>
          <w:rFonts w:ascii="Calibri" w:cs="Calibri" w:eastAsia="Calibri" w:hAnsi="Calibri"/>
          <w:b/>
          <w:bCs/>
          <w:color w:val="14161B"/>
          <w:sz w:val="22"/>
          <w:szCs w:val="22"/>
        </w:rPr>
        <w:t xml:space="preserve">3. GRANT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Every Grant shall be made by a grant letter stating the number of Units, the Grant Date, the exercise price of ₹ </w:t>
      </w:r>
      <w:r>
        <w:rPr>
          <w:rFonts w:ascii="Calibri" w:cs="Calibri" w:eastAsia="Calibri" w:hAnsi="Calibri"/>
          <w:b/>
          <w:bCs/>
          <w:sz w:val="21"/>
          <w:szCs w:val="21"/>
        </w:rPr>
        <w:t xml:space="preserve">[FACE VALUE]</w:t>
      </w:r>
      <w:r>
        <w:rPr>
          <w:rFonts w:ascii="Calibri" w:cs="Calibri" w:eastAsia="Calibri" w:hAnsi="Calibri"/>
          <w:sz w:val="21"/>
          <w:szCs w:val="21"/>
        </w:rPr>
        <w:t xml:space="preserve"> per Unit, the vesting schedule and any performance conditions, the settlement window, and the consequences of cessation of employment. The Grant takes effect only on the Employee returning a signed acknowledgement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Units are personal to the Employee. They shall not be transferred, pledged, charged, assigned or encumbered, and only the Employee may exercise them, save as provided in Clause 6 in the case of death.</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Units confer no voting right, no dividend right and no other right of a shareholder until the corresponding shares are allotted.</w:t>
      </w:r>
    </w:p>
    <w:p>
      <w:pPr>
        <w:keepNext/>
        <w:spacing w:after="120" w:before="280"/>
        <w:outlineLvl w:val="0"/>
      </w:pPr>
      <w:r>
        <w:rPr>
          <w:rFonts w:ascii="Calibri" w:cs="Calibri" w:eastAsia="Calibri" w:hAnsi="Calibri"/>
          <w:b/>
          <w:bCs/>
          <w:color w:val="14161B"/>
          <w:sz w:val="22"/>
          <w:szCs w:val="22"/>
        </w:rPr>
        <w:t xml:space="preserve">4. VESTING</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Units vest in accordance with the schedule set out in the grant letter, subject to the minimum period between grant and vesting prescribed by law, which shall not be less than one year, and subject to the Employee remaining in employment on each vesting date.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standard vesting schedule is </w:t>
      </w:r>
      <w:r>
        <w:rPr>
          <w:rFonts w:ascii="Calibri" w:cs="Calibri" w:eastAsia="Calibri" w:hAnsi="Calibri"/>
          <w:b/>
          <w:bCs/>
          <w:sz w:val="21"/>
          <w:szCs w:val="21"/>
        </w:rPr>
        <w:t xml:space="preserve">[25]</w:t>
      </w:r>
      <w:r>
        <w:rPr>
          <w:rFonts w:ascii="Calibri" w:cs="Calibri" w:eastAsia="Calibri" w:hAnsi="Calibri"/>
          <w:sz w:val="21"/>
          <w:szCs w:val="21"/>
        </w:rPr>
        <w:t xml:space="preserve"> per cent on the first anniversary of the vesting commencement date and the balance in equal </w:t>
      </w:r>
      <w:r>
        <w:rPr>
          <w:rFonts w:ascii="Calibri" w:cs="Calibri" w:eastAsia="Calibri" w:hAnsi="Calibri"/>
          <w:b/>
          <w:bCs/>
          <w:sz w:val="21"/>
          <w:szCs w:val="21"/>
        </w:rPr>
        <w:t xml:space="preserve">[quarterly]</w:t>
      </w:r>
      <w:r>
        <w:rPr>
          <w:rFonts w:ascii="Calibri" w:cs="Calibri" w:eastAsia="Calibri" w:hAnsi="Calibri"/>
          <w:sz w:val="21"/>
          <w:szCs w:val="21"/>
        </w:rPr>
        <w:t xml:space="preserve"> instalments over the following </w:t>
      </w:r>
      <w:r>
        <w:rPr>
          <w:rFonts w:ascii="Calibri" w:cs="Calibri" w:eastAsia="Calibri" w:hAnsi="Calibri"/>
          <w:b/>
          <w:bCs/>
          <w:sz w:val="21"/>
          <w:szCs w:val="21"/>
        </w:rPr>
        <w:t xml:space="preserve">[36]</w:t>
      </w:r>
      <w:r>
        <w:rPr>
          <w:rFonts w:ascii="Calibri" w:cs="Calibri" w:eastAsia="Calibri" w:hAnsi="Calibri"/>
          <w:sz w:val="21"/>
          <w:szCs w:val="21"/>
        </w:rPr>
        <w:t xml:space="preserve"> months, unless the grant letter provides otherwise.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Performance-vesting Units.</w:t>
      </w:r>
      <w:r>
        <w:rPr>
          <w:rFonts w:ascii="Calibri" w:cs="Calibri" w:eastAsia="Calibri" w:hAnsi="Calibri"/>
          <w:sz w:val="21"/>
          <w:szCs w:val="21"/>
        </w:rPr>
        <w:t xml:space="preserve"> Where a Grant is subject to performance conditions in addition to continued employment, those conditions shall be stated in the grant letter in objective and measurable terms, together with the measurement period, the source of the data, and the proportion of Units vesting at threshold, target and maximum performance. The Board shall determine whether the conditions have been met and shall notify the Employee in writing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the end of the measurement period.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Vesting shall be suspended during any period of unpaid leave or absence exceeding </w:t>
      </w:r>
      <w:r>
        <w:rPr>
          <w:rFonts w:ascii="Calibri" w:cs="Calibri" w:eastAsia="Calibri" w:hAnsi="Calibri"/>
          <w:b/>
          <w:bCs/>
          <w:sz w:val="21"/>
          <w:szCs w:val="21"/>
        </w:rPr>
        <w:t xml:space="preserve">[8]</w:t>
      </w:r>
      <w:r>
        <w:rPr>
          <w:rFonts w:ascii="Calibri" w:cs="Calibri" w:eastAsia="Calibri" w:hAnsi="Calibri"/>
          <w:sz w:val="21"/>
          <w:szCs w:val="21"/>
        </w:rPr>
        <w:t xml:space="preserve"> consecutive weeks, other than statutory maternity or paternity leave or absence through illness or injury, and shall resume on the Employee returning to service, with the vesting dates deferred accordingly.</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No fractional Unit shall vest. Fractions shall be rounded down and the accumulated fractions shall vest with the final instalment.</w:t>
      </w:r>
    </w:p>
    <w:p>
      <w:pPr>
        <w:keepNext/>
        <w:spacing w:after="120" w:before="280"/>
        <w:outlineLvl w:val="0"/>
      </w:pPr>
      <w:r>
        <w:rPr>
          <w:rFonts w:ascii="Calibri" w:cs="Calibri" w:eastAsia="Calibri" w:hAnsi="Calibri"/>
          <w:b/>
          <w:bCs/>
          <w:color w:val="14161B"/>
          <w:sz w:val="22"/>
          <w:szCs w:val="22"/>
        </w:rPr>
        <w:t xml:space="preserve">5. SETTLEMENT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 vested Unit is settled by the Employee exercising it, paying the exercise price of ₹ </w:t>
      </w:r>
      <w:r>
        <w:rPr>
          <w:rFonts w:ascii="Calibri" w:cs="Calibri" w:eastAsia="Calibri" w:hAnsi="Calibri"/>
          <w:b/>
          <w:bCs/>
          <w:sz w:val="21"/>
          <w:szCs w:val="21"/>
        </w:rPr>
        <w:t xml:space="preserve">[FACE VALUE]</w:t>
      </w:r>
      <w:r>
        <w:rPr>
          <w:rFonts w:ascii="Calibri" w:cs="Calibri" w:eastAsia="Calibri" w:hAnsi="Calibri"/>
          <w:sz w:val="21"/>
          <w:szCs w:val="21"/>
        </w:rPr>
        <w:t xml:space="preserve"> per Unit together with any amount required to be withheld under Clause 7, and the Company allotting one equity share against each Unit exercised.</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Settlement window.</w:t>
      </w:r>
      <w:r>
        <w:rPr>
          <w:rFonts w:ascii="Calibri" w:cs="Calibri" w:eastAsia="Calibri" w:hAnsi="Calibri"/>
          <w:sz w:val="21"/>
          <w:szCs w:val="21"/>
        </w:rPr>
        <w:t xml:space="preserve"> Vested Units may be exercised </w:t>
      </w:r>
      <w:r>
        <w:rPr>
          <w:rFonts w:ascii="Calibri" w:cs="Calibri" w:eastAsia="Calibri" w:hAnsi="Calibri"/>
          <w:i/>
          <w:iCs/>
          <w:sz w:val="21"/>
          <w:szCs w:val="21"/>
        </w:rPr>
        <w:t xml:space="preserve">either at any time within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years of the relevant vesting date, or only during a window opened by the Board, opening on each vesting date for </w:t>
      </w:r>
      <w:r>
        <w:rPr>
          <w:rFonts w:ascii="Calibri" w:cs="Calibri" w:eastAsia="Calibri" w:hAnsi="Calibri"/>
          <w:b/>
          <w:bCs/>
          <w:i/>
          <w:iCs/>
          <w:sz w:val="21"/>
          <w:szCs w:val="21"/>
        </w:rPr>
        <w:t xml:space="preserve">[NUMBER]</w:t>
      </w:r>
      <w:r>
        <w:rPr>
          <w:rFonts w:ascii="Calibri" w:cs="Calibri" w:eastAsia="Calibri" w:hAnsi="Calibri"/>
          <w:i/>
          <w:iCs/>
          <w:sz w:val="21"/>
          <w:szCs w:val="21"/>
        </w:rPr>
        <w:t xml:space="preserve"> days and on any liquidity event</w:t>
      </w:r>
      <w:r>
        <w:rPr>
          <w:rFonts w:ascii="Calibri" w:cs="Calibri" w:eastAsia="Calibri" w:hAnsi="Calibri"/>
          <w:sz w:val="21"/>
          <w:szCs w:val="21"/>
        </w:rPr>
        <w:t xml:space="preserve">, and shall lapse if not exercised within that period. </w:t>
      </w:r>
      <w:r>
        <w:rPr>
          <w:rFonts w:ascii="Calibri" w:cs="Calibri" w:eastAsia="Calibri" w:hAnsi="Calibri"/>
          <w:i/>
          <w:iCs/>
          <w:sz w:val="21"/>
          <w:szCs w:val="21"/>
        </w:rPr>
        <w:t xml:space="preserve">(A restricted settlement window is common for Units because it manages the tax timing and the register of members. State clearly which applies.)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On receipt of a valid exercise notice and the full amount payable, the Board shall allot the shares within </w:t>
      </w:r>
      <w:r>
        <w:rPr>
          <w:rFonts w:ascii="Calibri" w:cs="Calibri" w:eastAsia="Calibri" w:hAnsi="Calibri"/>
          <w:b/>
          <w:bCs/>
          <w:sz w:val="21"/>
          <w:szCs w:val="21"/>
        </w:rPr>
        <w:t xml:space="preserve">[30]</w:t>
      </w:r>
      <w:r>
        <w:rPr>
          <w:rFonts w:ascii="Calibri" w:cs="Calibri" w:eastAsia="Calibri" w:hAnsi="Calibri"/>
          <w:sz w:val="21"/>
          <w:szCs w:val="21"/>
        </w:rPr>
        <w:t xml:space="preserve"> days, enter the Employee in the register of members, issue the certificates duly stamped or credit the shares in dematerialised form, make the filings required, and update the register.</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As a condition of allotment, the Employee shall execute a deed of adherence to any shareholders’ agreement in force and shall be bound by the articles of association, including any restriction on transfer, right of first refusal, tag-along, drag-along or lock-in.</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b/>
          <w:bCs/>
          <w:sz w:val="21"/>
          <w:szCs w:val="21"/>
        </w:rPr>
        <w:t xml:space="preserve">Cash settlement.</w:t>
      </w:r>
      <w:r>
        <w:rPr>
          <w:rFonts w:ascii="Calibri" w:cs="Calibri" w:eastAsia="Calibri" w:hAnsi="Calibri"/>
          <w:sz w:val="21"/>
          <w:szCs w:val="21"/>
        </w:rPr>
        <w:t xml:space="preserve"> </w:t>
      </w:r>
      <w:r>
        <w:rPr>
          <w:rFonts w:ascii="Calibri" w:cs="Calibri" w:eastAsia="Calibri" w:hAnsi="Calibri"/>
          <w:b/>
          <w:bCs/>
          <w:sz w:val="21"/>
          <w:szCs w:val="21"/>
        </w:rPr>
        <w:t xml:space="preserve">[The Board may, at its discretion and where permitted by law, settle vested Units in cash equal to the fair market value of the underlying shares less the exercise price, in place of allotting shares. Where cash settlement is used, the amount is taxable as salary income and the Company shall deduct tax accordingly. / Units shall be settled only in shares.]</w:t>
      </w:r>
    </w:p>
    <w:p>
      <w:pPr>
        <w:keepNext/>
        <w:spacing w:after="120" w:before="280"/>
        <w:outlineLvl w:val="0"/>
      </w:pPr>
      <w:r>
        <w:rPr>
          <w:rFonts w:ascii="Calibri" w:cs="Calibri" w:eastAsia="Calibri" w:hAnsi="Calibri"/>
          <w:b/>
          <w:bCs/>
          <w:color w:val="14161B"/>
          <w:sz w:val="22"/>
          <w:szCs w:val="22"/>
        </w:rPr>
        <w:t xml:space="preserve">6. CESSATION OF EMPLOYMENT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2891"/>
        <w:gridCol w:w="3471"/>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Circumstance of cessation</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Unvested Units</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Vested but unsettled Units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Resignation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Lapse on the last working day</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Exercisable within </w:t>
            </w:r>
            <w:r>
              <w:rPr>
                <w:rFonts w:ascii="Calibri" w:cs="Calibri" w:eastAsia="Calibri" w:hAnsi="Calibri"/>
                <w:b/>
                <w:bCs/>
                <w:sz w:val="18"/>
                <w:szCs w:val="18"/>
              </w:rPr>
              <w:t xml:space="preserve">[NUMBER]</w:t>
            </w:r>
            <w:r>
              <w:rPr>
                <w:rFonts w:ascii="Calibri" w:cs="Calibri" w:eastAsia="Calibri" w:hAnsi="Calibri"/>
                <w:sz w:val="18"/>
                <w:szCs w:val="18"/>
              </w:rPr>
              <w:t xml:space="preserve"> days, failing which they lapse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Termination without cause, or redundancy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Lapse </w:t>
            </w:r>
            <w:r>
              <w:rPr>
                <w:rFonts w:ascii="Calibri" w:cs="Calibri" w:eastAsia="Calibri" w:hAnsi="Calibri"/>
                <w:b/>
                <w:bCs/>
                <w:sz w:val="18"/>
                <w:szCs w:val="18"/>
              </w:rPr>
              <w:t xml:space="preserve">[, unless the Board accelerates]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Exercisable within </w:t>
            </w:r>
            <w:r>
              <w:rPr>
                <w:rFonts w:ascii="Calibri" w:cs="Calibri" w:eastAsia="Calibri" w:hAnsi="Calibri"/>
                <w:b/>
                <w:bCs/>
                <w:sz w:val="18"/>
                <w:szCs w:val="18"/>
              </w:rPr>
              <w:t xml:space="preserve">[NUMBER]</w:t>
            </w:r>
            <w:r>
              <w:rPr>
                <w:rFonts w:ascii="Calibri" w:cs="Calibri" w:eastAsia="Calibri" w:hAnsi="Calibri"/>
                <w:sz w:val="18"/>
                <w:szCs w:val="18"/>
              </w:rPr>
              <w:t xml:space="preserve"> days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Termination for cause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Lapse immediately</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Lapse immediately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Death</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Vest in full</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Exercisable by the legal heirs or nominee within </w:t>
            </w:r>
            <w:r>
              <w:rPr>
                <w:rFonts w:ascii="Calibri" w:cs="Calibri" w:eastAsia="Calibri" w:hAnsi="Calibri"/>
                <w:b/>
                <w:bCs/>
                <w:sz w:val="18"/>
                <w:szCs w:val="18"/>
              </w:rPr>
              <w:t xml:space="preserve">[NUMBER]</w:t>
            </w:r>
            <w:r>
              <w:rPr>
                <w:rFonts w:ascii="Calibri" w:cs="Calibri" w:eastAsia="Calibri" w:hAnsi="Calibri"/>
                <w:sz w:val="18"/>
                <w:szCs w:val="18"/>
              </w:rPr>
              <w:t xml:space="preserve"> months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 incapacity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Vest in full</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Exercisable within </w:t>
            </w:r>
            <w:r>
              <w:rPr>
                <w:rFonts w:ascii="Calibri" w:cs="Calibri" w:eastAsia="Calibri" w:hAnsi="Calibri"/>
                <w:b/>
                <w:bCs/>
                <w:sz w:val="18"/>
                <w:szCs w:val="18"/>
              </w:rPr>
              <w:t xml:space="preserve">[NUMBER]</w:t>
            </w:r>
            <w:r>
              <w:rPr>
                <w:rFonts w:ascii="Calibri" w:cs="Calibri" w:eastAsia="Calibri" w:hAnsi="Calibri"/>
                <w:sz w:val="18"/>
                <w:szCs w:val="18"/>
              </w:rPr>
              <w:t xml:space="preserve"> months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Retirement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 the Board determines]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Exercisable within </w:t>
            </w:r>
            <w:r>
              <w:rPr>
                <w:rFonts w:ascii="Calibri" w:cs="Calibri" w:eastAsia="Calibri" w:hAnsi="Calibri"/>
                <w:b/>
                <w:bCs/>
                <w:sz w:val="18"/>
                <w:szCs w:val="18"/>
              </w:rPr>
              <w:t xml:space="preserve">[NUMBER]</w:t>
            </w:r>
            <w:r>
              <w:rPr>
                <w:rFonts w:ascii="Calibri" w:cs="Calibri" w:eastAsia="Calibri" w:hAnsi="Calibri"/>
                <w:sz w:val="18"/>
                <w:szCs w:val="18"/>
              </w:rPr>
              <w:t xml:space="preserve"> months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within the group</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Continue to vest without interruption</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Unaffected</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w:t>
      </w:r>
      <w:r>
        <w:rPr>
          <w:rFonts w:ascii="Calibri" w:cs="Calibri" w:eastAsia="Calibri" w:hAnsi="Calibri"/>
          <w:b/>
          <w:bCs/>
          <w:sz w:val="21"/>
          <w:szCs w:val="21"/>
        </w:rPr>
        <w:t xml:space="preserve">Cause</w:t>
      </w:r>
      <w:r>
        <w:rPr>
          <w:rFonts w:ascii="Calibri" w:cs="Calibri" w:eastAsia="Calibri" w:hAnsi="Calibri"/>
          <w:sz w:val="21"/>
          <w:szCs w:val="21"/>
        </w:rPr>
        <w:t xml:space="preserve">" has the meaning given in the Scheme. Units that lapse return to the pool and are available for further Grant.</w:t>
      </w:r>
    </w:p>
    <w:p>
      <w:pPr>
        <w:keepNext/>
        <w:spacing w:after="120" w:before="280"/>
        <w:outlineLvl w:val="0"/>
      </w:pPr>
      <w:r>
        <w:rPr>
          <w:rFonts w:ascii="Calibri" w:cs="Calibri" w:eastAsia="Calibri" w:hAnsi="Calibri"/>
          <w:b/>
          <w:bCs/>
          <w:color w:val="14161B"/>
          <w:sz w:val="22"/>
          <w:szCs w:val="22"/>
        </w:rPr>
        <w:t xml:space="preserve">7. TAX</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Employee is responsible for all taxes arising in respect of Units and the underlying shares.</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On exercise, the difference between the fair market value of the shares on the exercise date and the exercise price paid is taxable as a perquisite forming part of salary income. Because the exercise price under this Plan is the face value, that difference is close to the whole value of the share, and the tax payable will be correspondingly higher than under an option granted at fair value. The Company shall deduct tax at source and may withhold allotment until the amount is paid.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Any gain on a subsequent sale of the shares is taxable as a capital gain in the Employee’s hands.</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b/>
          <w:bCs/>
          <w:sz w:val="21"/>
          <w:szCs w:val="21"/>
        </w:rPr>
        <w:t xml:space="preserve">[Where the Company is an eligible startup and the deferral of withholding available in respect of options issued by eligible startups applies, the Company shall deduct and deposit tax within the time permitted, and the Employee shall notify the Company promptly of any event triggering the deferred liability.]</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Nothing in this Plan constitutes tax advice. Each Employee is advised to take independent advice before exercising.</w:t>
      </w:r>
    </w:p>
    <w:p>
      <w:pPr>
        <w:keepNext/>
        <w:spacing w:after="120" w:before="280"/>
        <w:outlineLvl w:val="0"/>
      </w:pPr>
      <w:r>
        <w:rPr>
          <w:rFonts w:ascii="Calibri" w:cs="Calibri" w:eastAsia="Calibri" w:hAnsi="Calibri"/>
          <w:b/>
          <w:bCs/>
          <w:color w:val="14161B"/>
          <w:sz w:val="22"/>
          <w:szCs w:val="22"/>
        </w:rPr>
        <w:t xml:space="preserve">8. CORPORATE ACTIONS AND CHANGE OF CONTROL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On any bonus issue, share split, consolidation, reclassification or other capital reorganisation, the number of Units outstanding shall be adjusted so that the entitlement of the Employee is neither increased nor decreased, and the Board shall notify each Employee.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On a change of control,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unvested Units shall vest. Where an Employee is terminated without Cause within </w:t>
      </w:r>
      <w:r>
        <w:rPr>
          <w:rFonts w:ascii="Calibri" w:cs="Calibri" w:eastAsia="Calibri" w:hAnsi="Calibri"/>
          <w:b/>
          <w:bCs/>
          <w:sz w:val="21"/>
          <w:szCs w:val="21"/>
        </w:rPr>
        <w:t xml:space="preserve">[12]</w:t>
      </w:r>
      <w:r>
        <w:rPr>
          <w:rFonts w:ascii="Calibri" w:cs="Calibri" w:eastAsia="Calibri" w:hAnsi="Calibri"/>
          <w:sz w:val="21"/>
          <w:szCs w:val="21"/>
        </w:rPr>
        <w:t xml:space="preserve"> months after a change of control, all remaining unvested Units of that Employee shall vest.</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On a merger, amalgamation or sale of substantially all the assets, the Board may provide for the assumption or substitution of Units on equivalent terms, for acceleration, or for settlement in cash at the transaction price less the exercise price.</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On a winding up, all Units lapse.</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Nothing in this Plan confers a right to continued employment, forms part of remuneration for any purpose, or creates any claim on cessation of employment.</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The Board shall maintain the register of employee stock options in the prescribed form, recording Units granted, vested, exercised, lapsed and outstanding, and shall reconcile it to the pool authorised quarterly.</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The Board may amend this Plan, subject to the approval of the members where required, provided that no amendment shall adversely affect an Employee’s rights in respect of Units already granted without that Employee’s written consent.</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This Plan is governed by the laws of India, and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w:t>
      </w:r>
    </w:p>
    <w:p>
      <w:pPr>
        <w:spacing w:after="240"/>
      </w:pPr>
    </w:p>
    <w:p>
      <w:pPr>
        <w:spacing w:after="240" w:before="0" w:line="276"/>
        <w:jc w:val="both"/>
      </w:pPr>
      <w:r>
        <w:rPr>
          <w:rFonts w:ascii="Calibri" w:cs="Calibri" w:eastAsia="Calibri" w:hAnsi="Calibri"/>
          <w:b/>
          <w:bCs/>
          <w:sz w:val="21"/>
          <w:szCs w:val="21"/>
        </w:rPr>
        <w:t xml:space="preserve">Approved by the Board of Directors on </w:t>
      </w:r>
      <w:r>
        <w:rPr>
          <w:rFonts w:ascii="Calibri" w:cs="Calibri" w:eastAsia="Calibri" w:hAnsi="Calibri"/>
          <w:b/>
          <w:bCs/>
          <w:sz w:val="21"/>
          <w:szCs w:val="21"/>
        </w:rPr>
        <w:t xml:space="preserve">[DATE]</w:t>
      </w:r>
      <w:r>
        <w:rPr>
          <w:rFonts w:ascii="Calibri" w:cs="Calibri" w:eastAsia="Calibri" w:hAnsi="Calibri"/>
          <w:b/>
          <w:bCs/>
          <w:sz w:val="21"/>
          <w:szCs w:val="21"/>
        </w:rPr>
        <w:t xml:space="preserve"> and by the members on </w:t>
      </w:r>
      <w:r>
        <w:rPr>
          <w:rFonts w:ascii="Calibri" w:cs="Calibri" w:eastAsia="Calibri" w:hAnsi="Calibri"/>
          <w:b/>
          <w:bCs/>
          <w:sz w:val="21"/>
          <w:szCs w:val="21"/>
        </w:rPr>
        <w:t xml:space="preserve">[DATE]</w:t>
      </w:r>
      <w:r>
        <w:rPr>
          <w:rFonts w:ascii="Calibri" w:cs="Calibri" w:eastAsia="Calibri" w:hAnsi="Calibri"/>
          <w:b/>
          <w:bCs/>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[Company Secretary]</w:t>
            </w:r>
          </w:p>
          <w:p>
            <w:pPr>
              <w:spacing w:after="90" w:line="264"/>
            </w:pPr>
            <w:r>
              <w:rPr>
                <w:rFonts w:ascii="Calibri" w:cs="Calibri" w:eastAsia="Calibri" w:hAnsi="Calibri"/>
                <w:sz w:val="21"/>
                <w:szCs w:val="21"/>
              </w:rPr>
              <w:t xml:space="preserve">Membership No.: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Options and Units Compared</w:t>
      </w:r>
    </w:p>
    <w:p>
      <w:pPr>
        <w:spacing w:after="140" w:before="0" w:line="276"/>
        <w:jc w:val="both"/>
      </w:pPr>
      <w:r>
        <w:rPr>
          <w:rFonts w:ascii="Calibri" w:cs="Calibri" w:eastAsia="Calibri" w:hAnsi="Calibri"/>
          <w:i/>
          <w:iCs/>
          <w:sz w:val="21"/>
          <w:szCs w:val="21"/>
        </w:rPr>
        <w:t xml:space="preserve">Use this to decide which instrument to grant, and to explain the difference to employees.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469"/>
        <w:gridCol w:w="3664"/>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Feature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Option at fair market value</w:t>
            </w:r>
          </w:p>
        </w:tc>
        <w:tc>
          <w:tcPr>
            <w:tcW w:type="dxa" w:w="36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Restricted Stock Unit (option at face value)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the employee pays on exercise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fair market value at the grant date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face value only, typically ₹ 1 or ₹ 10</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Value if the share price does not rise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Nil — the option is under water</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Retains value — close to the full share value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Value if the share price falls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Nil</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Reduced but still positive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Perquisite taxed on exercise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FMV at exercise less the grant-date price — smaller</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FMV at exercise less face value — larger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Cash the employee needs at exercise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Higher exercise price, lower tax</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Negligible exercise price, higher tax</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Number of instruments needed for the same value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More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Fewer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Dilution for a given value delivered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Higher</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Lower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Typical use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Early-stage grants, where upside is the incentive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Later-stage or senior grants, where retention is the incentive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 law route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stock option framework</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same framework — there is no separate RSU route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Minimum vesting period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One year from grant</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One year from grant — the same requirement applies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There is no separate RSU law in India</w:t>
      </w:r>
    </w:p>
    <w:p>
      <w:pPr>
        <w:spacing w:after="60" w:line="264"/>
        <w:jc w:val="both"/>
      </w:pPr>
      <w:r>
        <w:rPr>
          <w:rFonts w:ascii="Calibri" w:cs="Calibri" w:eastAsia="Calibri" w:hAnsi="Calibri"/>
          <w:sz w:val="19"/>
          <w:szCs w:val="19"/>
        </w:rPr>
        <w:t xml:space="preserve">The term is imported from jurisdictions where a restricted stock unit is a distinct instrument settled by delivering shares for no payment. Indian company law has no equivalent, and shares cannot be issued for less than face value. The workable structure is therefore an option with an exercise price equal to face value, granted under the employee stock option framework, which is what this Plan does. A plan drafted as though shares will simply be delivered on vesting cannot be implemented.</w:t>
      </w:r>
    </w:p>
    <w:p>
      <w:pPr>
        <w:keepNext/>
        <w:spacing w:after="40" w:before="140"/>
      </w:pPr>
      <w:r>
        <w:rPr>
          <w:rFonts w:ascii="Calibri" w:cs="Calibri" w:eastAsia="Calibri" w:hAnsi="Calibri"/>
          <w:b/>
          <w:bCs/>
          <w:color w:val="14161B"/>
          <w:sz w:val="20"/>
          <w:szCs w:val="20"/>
        </w:rPr>
        <w:t xml:space="preserve">Every option requirement applies</w:t>
      </w:r>
    </w:p>
    <w:p>
      <w:pPr>
        <w:spacing w:after="60" w:line="264"/>
        <w:jc w:val="both"/>
      </w:pPr>
      <w:r>
        <w:rPr>
          <w:rFonts w:ascii="Calibri" w:cs="Calibri" w:eastAsia="Calibri" w:hAnsi="Calibri"/>
          <w:sz w:val="19"/>
          <w:szCs w:val="19"/>
        </w:rPr>
        <w:t xml:space="preserve">Because Units are options in law, the definition of an eligible employee applies, the minimum one-year period between grant and vesting applies, the prohibition on transfer applies, the prescribed register applies, and the members’ approval requirement applies. Companies that treat an RSU plan as something lighter than an option scheme are usually wrong on all five.</w:t>
      </w:r>
    </w:p>
    <w:p>
      <w:pPr>
        <w:keepNext/>
        <w:spacing w:after="40" w:before="140"/>
      </w:pPr>
      <w:r>
        <w:rPr>
          <w:rFonts w:ascii="Calibri" w:cs="Calibri" w:eastAsia="Calibri" w:hAnsi="Calibri"/>
          <w:b/>
          <w:bCs/>
          <w:color w:val="14161B"/>
          <w:sz w:val="20"/>
          <w:szCs w:val="20"/>
        </w:rPr>
        <w:t xml:space="preserve">The tax position is worse, not better, at exercise</w:t>
      </w:r>
    </w:p>
    <w:p>
      <w:pPr>
        <w:spacing w:after="60" w:line="264"/>
        <w:jc w:val="both"/>
      </w:pPr>
      <w:r>
        <w:rPr>
          <w:rFonts w:ascii="Calibri" w:cs="Calibri" w:eastAsia="Calibri" w:hAnsi="Calibri"/>
          <w:sz w:val="19"/>
          <w:szCs w:val="19"/>
        </w:rPr>
        <w:t xml:space="preserve">Because the exercise price is the face value, the perquisite on exercise is close to the entire value of the share. The employee pays almost nothing to exercise and a great deal in tax. This is the opposite of the intuition most employees bring from other jurisdictions, where RSUs feel free. Annexure A exists to make the trade-off visible, and it should be shown to employees at grant.</w:t>
      </w:r>
    </w:p>
    <w:p>
      <w:pPr>
        <w:keepNext/>
        <w:spacing w:after="40" w:before="140"/>
      </w:pPr>
      <w:r>
        <w:rPr>
          <w:rFonts w:ascii="Calibri" w:cs="Calibri" w:eastAsia="Calibri" w:hAnsi="Calibri"/>
          <w:b/>
          <w:bCs/>
          <w:color w:val="14161B"/>
          <w:sz w:val="20"/>
          <w:szCs w:val="20"/>
        </w:rPr>
        <w:t xml:space="preserve">Manage the settlement window deliberately</w:t>
      </w:r>
    </w:p>
    <w:p>
      <w:pPr>
        <w:spacing w:after="60" w:line="264"/>
        <w:jc w:val="both"/>
      </w:pPr>
      <w:r>
        <w:rPr>
          <w:rFonts w:ascii="Calibri" w:cs="Calibri" w:eastAsia="Calibri" w:hAnsi="Calibri"/>
          <w:sz w:val="19"/>
          <w:szCs w:val="19"/>
        </w:rPr>
        <w:t xml:space="preserve">Because exercise triggers a large tax charge with no liquidity, an open multi-year settlement window invites employees to exercise at the worst possible moment. Many companies open the window only on vesting dates and on liquidity events, which aligns the tax charge with the ability to pay it. Clause 5.2 offers both; choose one and say so plainly in the grant letter.</w:t>
      </w:r>
    </w:p>
    <w:p>
      <w:pPr>
        <w:keepNext/>
        <w:spacing w:after="40" w:before="140"/>
      </w:pPr>
      <w:r>
        <w:rPr>
          <w:rFonts w:ascii="Calibri" w:cs="Calibri" w:eastAsia="Calibri" w:hAnsi="Calibri"/>
          <w:b/>
          <w:bCs/>
          <w:color w:val="14161B"/>
          <w:sz w:val="20"/>
          <w:szCs w:val="20"/>
        </w:rPr>
        <w:t xml:space="preserve">Cash settlement is a different animal</w:t>
      </w:r>
    </w:p>
    <w:p>
      <w:pPr>
        <w:spacing w:after="60" w:line="264"/>
        <w:jc w:val="both"/>
      </w:pPr>
      <w:r>
        <w:rPr>
          <w:rFonts w:ascii="Calibri" w:cs="Calibri" w:eastAsia="Calibri" w:hAnsi="Calibri"/>
          <w:sz w:val="19"/>
          <w:szCs w:val="19"/>
        </w:rPr>
        <w:t xml:space="preserve">Settling in cash avoids the illiquidity problem and the register-of-members problem, but it is a salary payment, it hits the profit and loss account, and it needs funding. It also may not be available under the option framework in the way a company assumes. Take advice before including Clause 5.5, and delete it if cash settlement is not genuinely intended.</w:t>
      </w:r>
    </w:p>
    <w:p>
      <w:pPr>
        <w:keepNext/>
        <w:spacing w:after="40" w:before="140"/>
      </w:pPr>
      <w:r>
        <w:rPr>
          <w:rFonts w:ascii="Calibri" w:cs="Calibri" w:eastAsia="Calibri" w:hAnsi="Calibri"/>
          <w:b/>
          <w:bCs/>
          <w:color w:val="14161B"/>
          <w:sz w:val="20"/>
          <w:szCs w:val="20"/>
        </w:rPr>
        <w:t xml:space="preserve">Fewer units, less dilution, same value</w:t>
      </w:r>
    </w:p>
    <w:p>
      <w:pPr>
        <w:spacing w:after="60" w:line="264"/>
        <w:jc w:val="both"/>
      </w:pPr>
      <w:r>
        <w:rPr>
          <w:rFonts w:ascii="Calibri" w:cs="Calibri" w:eastAsia="Calibri" w:hAnsi="Calibri"/>
          <w:sz w:val="19"/>
          <w:szCs w:val="19"/>
        </w:rPr>
        <w:t xml:space="preserve">Because each Unit delivers close to the full share value rather than the increase in value, far fewer Units are needed to deliver a given amount. That is the principal attraction for a later-stage company managing its pool. Model the pool consumption both ways before choosing.</w:t>
      </w:r>
    </w:p>
    <w:p>
      <w:pPr>
        <w:keepNext/>
        <w:spacing w:after="40" w:before="140"/>
      </w:pPr>
      <w:r>
        <w:rPr>
          <w:rFonts w:ascii="Calibri" w:cs="Calibri" w:eastAsia="Calibri" w:hAnsi="Calibri"/>
          <w:b/>
          <w:bCs/>
          <w:color w:val="14161B"/>
          <w:sz w:val="20"/>
          <w:szCs w:val="20"/>
        </w:rPr>
        <w:t xml:space="preserve">Do not run a shadow plan</w:t>
      </w:r>
    </w:p>
    <w:p>
      <w:pPr>
        <w:spacing w:after="60" w:line="264"/>
        <w:jc w:val="both"/>
      </w:pPr>
      <w:r>
        <w:rPr>
          <w:rFonts w:ascii="Calibri" w:cs="Calibri" w:eastAsia="Calibri" w:hAnsi="Calibri"/>
          <w:sz w:val="19"/>
          <w:szCs w:val="19"/>
        </w:rPr>
        <w:t xml:space="preserve">Where the Company already has an option scheme with an approved pool, the cleanest route is to grant Units out of that pool under that scheme, using a face-value exercise price, rather than adopting a separate plan with a separate pool. Two pools tracked separately is a reconciliation problem waiting to happen. Clause 1.4 and the grant particulars are drafted to allow either; prefer the single pool.</w:t>
      </w:r>
    </w:p>
    <w:p>
      <w:pPr>
        <w:keepNext/>
        <w:spacing w:after="40" w:before="140"/>
      </w:pPr>
      <w:r>
        <w:rPr>
          <w:rFonts w:ascii="Calibri" w:cs="Calibri" w:eastAsia="Calibri" w:hAnsi="Calibri"/>
          <w:b/>
          <w:bCs/>
          <w:color w:val="14161B"/>
          <w:sz w:val="20"/>
          <w:szCs w:val="20"/>
        </w:rPr>
        <w:t xml:space="preserve">Performance conditions must be measurable</w:t>
      </w:r>
    </w:p>
    <w:p>
      <w:pPr>
        <w:spacing w:after="60" w:line="264"/>
        <w:jc w:val="both"/>
      </w:pPr>
      <w:r>
        <w:rPr>
          <w:rFonts w:ascii="Calibri" w:cs="Calibri" w:eastAsia="Calibri" w:hAnsi="Calibri"/>
          <w:sz w:val="19"/>
          <w:szCs w:val="19"/>
        </w:rPr>
        <w:t xml:space="preserve">Clause 4.3 requires objective conditions, a measurement period, the data source, and the proportion vesting at threshold, target and maximum. Performance Units drafted with a discretionary assessment produce disputes at exactly the moment the employee is leaving.</w:t>
      </w:r>
    </w:p>
    <w:p>
      <w:pPr>
        <w:keepNext/>
        <w:spacing w:after="40" w:before="140"/>
      </w:pPr>
      <w:r>
        <w:rPr>
          <w:rFonts w:ascii="Calibri" w:cs="Calibri" w:eastAsia="Calibri" w:hAnsi="Calibri"/>
          <w:b/>
          <w:bCs/>
          <w:color w:val="14161B"/>
          <w:sz w:val="20"/>
          <w:szCs w:val="20"/>
        </w:rPr>
        <w:t xml:space="preserve">Deed of adherence before allotment</w:t>
      </w:r>
    </w:p>
    <w:p>
      <w:pPr>
        <w:spacing w:after="60" w:line="264"/>
        <w:jc w:val="both"/>
      </w:pPr>
      <w:r>
        <w:rPr>
          <w:rFonts w:ascii="Calibri" w:cs="Calibri" w:eastAsia="Calibri" w:hAnsi="Calibri"/>
          <w:sz w:val="19"/>
          <w:szCs w:val="19"/>
        </w:rPr>
        <w:t xml:space="preserve">Settlement creates a new shareholder. Without a deed of adherence the Company acquires a minority holder not bound by the transfer restrictions or the drag in its investor documents. Make it a condition of allotment, not a follow-up.</w:t>
      </w:r>
    </w:p>
    <w:p>
      <w:pPr>
        <w:keepNext/>
        <w:spacing w:after="40" w:before="140"/>
      </w:pPr>
      <w:r>
        <w:rPr>
          <w:rFonts w:ascii="Calibri" w:cs="Calibri" w:eastAsia="Calibri" w:hAnsi="Calibri"/>
          <w:b/>
          <w:bCs/>
          <w:color w:val="14161B"/>
          <w:sz w:val="20"/>
          <w:szCs w:val="20"/>
        </w:rPr>
        <w:t xml:space="preserve">Explain it once, properly, at grant</w:t>
      </w:r>
    </w:p>
    <w:p>
      <w:pPr>
        <w:spacing w:after="60" w:line="264"/>
        <w:jc w:val="both"/>
      </w:pPr>
      <w:r>
        <w:rPr>
          <w:rFonts w:ascii="Calibri" w:cs="Calibri" w:eastAsia="Calibri" w:hAnsi="Calibri"/>
          <w:sz w:val="19"/>
          <w:szCs w:val="19"/>
        </w:rPr>
        <w:t xml:space="preserve">Employees who have held RSUs elsewhere will expect shares to appear automatically on vesting with tax withheld from the delivery. Under this Plan they must actively exercise, pay the face value, and fund a tax charge. Set that expectation in the grant letter, using Annexure A, rather than at the first vesting date.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employee stock option framework, the startup relaxations and the tax treatment of the perquisite all change — have this Plan reviewed by a company secretary and a tax adviser before adoption, and confirm that the structure remains the appropriate route.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2026-08-21T12:53:54.411Z</dcterms:created>
  <dcterms:modified xsi:type="dcterms:W3CDTF">2026-08-21T12:53:54.411Z</dcterms:modified>
</cp:coreProperties>
</file>

<file path=docProps/custom.xml><?xml version="1.0" encoding="utf-8"?>
<Properties xmlns="http://schemas.openxmlformats.org/officeDocument/2006/custom-properties" xmlns:vt="http://schemas.openxmlformats.org/officeDocument/2006/docPropsVTypes"/>
</file>