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RELATED PARTY TRANSACTIONS POLICY</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The purpose of this policy is to make related party transactions visible before they happen, not to describe them afterwards. The failure point is almost always identification — a transaction nobody flagged as related is one nobody approved.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Policy owner</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Secretary / Chief Financial Officer]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The Board of Directors on </w:t>
            </w:r>
            <w:r>
              <w:rPr>
                <w:rFonts w:ascii="Calibri" w:cs="Calibri" w:eastAsia="Calibri" w:hAnsi="Calibri"/>
                <w:b/>
                <w:bCs/>
                <w:sz w:val="19"/>
                <w:szCs w:val="19"/>
              </w:rPr>
              <w:t xml:space="preserve">[DATE]</w:t>
            </w:r>
            <w:r>
              <w:rPr>
                <w:rFonts w:ascii="Calibri" w:cs="Calibri" w:eastAsia="Calibri" w:hAnsi="Calibri"/>
                <w:sz w:val="19"/>
                <w:szCs w:val="19"/>
              </w:rPr>
              <w:t xml:space="preserve"> </w:t>
            </w:r>
            <w:r>
              <w:rPr>
                <w:rFonts w:ascii="Calibri" w:cs="Calibri" w:eastAsia="Calibri" w:hAnsi="Calibri"/>
                <w:b/>
                <w:bCs/>
                <w:sz w:val="19"/>
                <w:szCs w:val="19"/>
              </w:rPr>
              <w:t xml:space="preserve">[, on the recommendation of the Audit Committee]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 frequency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 and on any change in law or in the Company’s circumstances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Next review due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Published at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[WEBSITE LINK / Available at the registered office]</w:t>
            </w:r>
          </w:p>
        </w:tc>
      </w:tr>
    </w:tbl>
    <w:p>
      <w:pPr>
        <w:spacing w:after="200"/>
      </w:pPr>
    </w:p>
    <w:p>
      <w:pPr>
        <w:keepNext/>
        <w:spacing w:after="120" w:before="280"/>
        <w:outlineLvl w:val="0"/>
      </w:pPr>
      <w:r>
        <w:rPr>
          <w:rFonts w:ascii="Calibri" w:cs="Calibri" w:eastAsia="Calibri" w:hAnsi="Calibri"/>
          <w:b/>
          <w:bCs/>
          <w:color w:val="14161B"/>
          <w:sz w:val="22"/>
          <w:szCs w:val="22"/>
        </w:rPr>
        <w:t xml:space="preserve">1. PURPOSE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This policy sets out how the Company identifies, evaluates, approves, records, monitors and discloses transactions with related parties, so that such transactions are entered into on terms that are fair to the Company and are properly authorised and recorded.</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policy is adopted in accordance with the requirements of the Companies Act, 2013 and the rules made under it, </w:t>
      </w:r>
      <w:r>
        <w:rPr>
          <w:rFonts w:ascii="Calibri" w:cs="Calibri" w:eastAsia="Calibri" w:hAnsi="Calibri"/>
          <w:b/>
          <w:bCs/>
          <w:sz w:val="21"/>
          <w:szCs w:val="21"/>
        </w:rPr>
        <w:t xml:space="preserve">[and the applicable listing requirements,]</w:t>
      </w:r>
      <w:r>
        <w:rPr>
          <w:rFonts w:ascii="Calibri" w:cs="Calibri" w:eastAsia="Calibri" w:hAnsi="Calibri"/>
          <w:sz w:val="21"/>
          <w:szCs w:val="21"/>
        </w:rPr>
        <w:t xml:space="preserve"> and applies in addition to, and not in substitution for, those requirements. Where this policy is more restrictive than the law, this policy applies.</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policy applies to the Company and to each of its subsidiaries, and binds every director, key managerial person, officer and employee of the Company.</w:t>
      </w:r>
    </w:p>
    <w:p>
      <w:pPr>
        <w:keepNext/>
        <w:spacing w:after="120" w:before="280"/>
        <w:outlineLvl w:val="0"/>
      </w:pPr>
      <w:r>
        <w:rPr>
          <w:rFonts w:ascii="Calibri" w:cs="Calibri" w:eastAsia="Calibri" w:hAnsi="Calibri"/>
          <w:b/>
          <w:bCs/>
          <w:color w:val="14161B"/>
          <w:sz w:val="22"/>
          <w:szCs w:val="22"/>
        </w:rPr>
        <w:t xml:space="preserve">2. DEFINITIONS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w:t>
      </w:r>
      <w:r>
        <w:rPr>
          <w:rFonts w:ascii="Calibri" w:cs="Calibri" w:eastAsia="Calibri" w:hAnsi="Calibri"/>
          <w:b/>
          <w:bCs/>
          <w:sz w:val="21"/>
          <w:szCs w:val="21"/>
        </w:rPr>
        <w:t xml:space="preserve">Related party</w:t>
      </w:r>
      <w:r>
        <w:rPr>
          <w:rFonts w:ascii="Calibri" w:cs="Calibri" w:eastAsia="Calibri" w:hAnsi="Calibri"/>
          <w:sz w:val="21"/>
          <w:szCs w:val="21"/>
        </w:rPr>
        <w:t xml:space="preserve">" has the meaning given in the Companies Act, 2013 and includes, in relation to the Company: a director or key managerial person of the Company, and any relative of either; a firm in which a director, manager or their relative is a partner; a private company in which a director or manager or their relative is a director or member; a public company in which a director or manager is a director and holds, with relatives, more than the prescribed proportion of the paid-up capital; a body corporate whose board, managing director or manager is accustomed to act in accordance with the advice or directions of a director or manager of the Company; a holding, subsidiary or associate company of the Company, and a subsidiary of the Company’s holding company; </w:t>
      </w:r>
      <w:r>
        <w:rPr>
          <w:rFonts w:ascii="Calibri" w:cs="Calibri" w:eastAsia="Calibri" w:hAnsi="Calibri"/>
          <w:b/>
          <w:bCs/>
          <w:sz w:val="21"/>
          <w:szCs w:val="21"/>
        </w:rPr>
        <w:t xml:space="preserve">[and any person or entity belonging to the promoter or promoter group holding the prescribed proportion of shares]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w:t>
      </w:r>
      <w:r>
        <w:rPr>
          <w:rFonts w:ascii="Calibri" w:cs="Calibri" w:eastAsia="Calibri" w:hAnsi="Calibri"/>
          <w:b/>
          <w:bCs/>
          <w:sz w:val="21"/>
          <w:szCs w:val="21"/>
        </w:rPr>
        <w:t xml:space="preserve">Relative</w:t>
      </w:r>
      <w:r>
        <w:rPr>
          <w:rFonts w:ascii="Calibri" w:cs="Calibri" w:eastAsia="Calibri" w:hAnsi="Calibri"/>
          <w:sz w:val="21"/>
          <w:szCs w:val="21"/>
        </w:rPr>
        <w:t xml:space="preserve">" has the meaning given in the Companies Act, 2013 and the rules made under it, and includes members of a Hindu undivided family, a spouse, and the categories of family member prescribed.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w:t>
      </w:r>
      <w:r>
        <w:rPr>
          <w:rFonts w:ascii="Calibri" w:cs="Calibri" w:eastAsia="Calibri" w:hAnsi="Calibri"/>
          <w:b/>
          <w:bCs/>
          <w:sz w:val="21"/>
          <w:szCs w:val="21"/>
        </w:rPr>
        <w:t xml:space="preserve">Related party transaction</w:t>
      </w:r>
      <w:r>
        <w:rPr>
          <w:rFonts w:ascii="Calibri" w:cs="Calibri" w:eastAsia="Calibri" w:hAnsi="Calibri"/>
          <w:sz w:val="21"/>
          <w:szCs w:val="21"/>
        </w:rPr>
        <w:t xml:space="preserve">" means any transaction, contract or arrangement between the Company and a related party, whether or not for consideration, and includes the categories set out in Clause 3 and any transaction that is required by law or by the applicable accounting standard to be treated as a related party transaction.</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w:t>
      </w:r>
      <w:r>
        <w:rPr>
          <w:rFonts w:ascii="Calibri" w:cs="Calibri" w:eastAsia="Calibri" w:hAnsi="Calibri"/>
          <w:b/>
          <w:bCs/>
          <w:sz w:val="21"/>
          <w:szCs w:val="21"/>
        </w:rPr>
        <w:t xml:space="preserve">Ordinary course of business</w:t>
      </w:r>
      <w:r>
        <w:rPr>
          <w:rFonts w:ascii="Calibri" w:cs="Calibri" w:eastAsia="Calibri" w:hAnsi="Calibri"/>
          <w:sz w:val="21"/>
          <w:szCs w:val="21"/>
        </w:rPr>
        <w:t xml:space="preserve">" means a transaction of a kind that the Company enters into as part of its normal trade, having regard to the objects set out in its memorandum of association, the nature and frequency of the Company’s dealings of that kind with unrelated parties, and its historical practice.</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w:t>
      </w:r>
      <w:r>
        <w:rPr>
          <w:rFonts w:ascii="Calibri" w:cs="Calibri" w:eastAsia="Calibri" w:hAnsi="Calibri"/>
          <w:b/>
          <w:bCs/>
          <w:sz w:val="21"/>
          <w:szCs w:val="21"/>
        </w:rPr>
        <w:t xml:space="preserve">Arm’s length basis</w:t>
      </w:r>
      <w:r>
        <w:rPr>
          <w:rFonts w:ascii="Calibri" w:cs="Calibri" w:eastAsia="Calibri" w:hAnsi="Calibri"/>
          <w:sz w:val="21"/>
          <w:szCs w:val="21"/>
        </w:rPr>
        <w:t xml:space="preserve">" means a transaction between two related parties conducted as if they were unrelated, so that there is no conflict of interest, having regard to the price, the payment and delivery terms, the allocation of risk, and the other material terms, tested against terms available to or from unrelated parties.</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w:t>
      </w:r>
      <w:r>
        <w:rPr>
          <w:rFonts w:ascii="Calibri" w:cs="Calibri" w:eastAsia="Calibri" w:hAnsi="Calibri"/>
          <w:b/>
          <w:bCs/>
          <w:sz w:val="21"/>
          <w:szCs w:val="21"/>
        </w:rPr>
        <w:t xml:space="preserve">Material related party transaction</w:t>
      </w:r>
      <w:r>
        <w:rPr>
          <w:rFonts w:ascii="Calibri" w:cs="Calibri" w:eastAsia="Calibri" w:hAnsi="Calibri"/>
          <w:sz w:val="21"/>
          <w:szCs w:val="21"/>
        </w:rPr>
        <w:t xml:space="preserve">" means a related party transaction, or a series of transactions of the same nature with the same related party in a financial year, which exceeds the threshold set out in Clause 5.</w:t>
      </w:r>
    </w:p>
    <w:p>
      <w:pPr>
        <w:keepNext/>
        <w:spacing w:after="120" w:before="280"/>
        <w:outlineLvl w:val="0"/>
      </w:pPr>
      <w:r>
        <w:rPr>
          <w:rFonts w:ascii="Calibri" w:cs="Calibri" w:eastAsia="Calibri" w:hAnsi="Calibri"/>
          <w:b/>
          <w:bCs/>
          <w:color w:val="14161B"/>
          <w:sz w:val="22"/>
          <w:szCs w:val="22"/>
        </w:rPr>
        <w:t xml:space="preserve">3. TRANSACTIONS COVERED</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This policy applies to the following transactions with a related party:</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sale, purchase or supply of any goods or materials;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selling or otherwise disposing of, or buying, property of any kind;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leasing of property of any kind, whether as lessor or lessee;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availing or rendering of any services;</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appointment of any agent for the purchase or sale of goods, materials, services or property;</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appointment of a related party to any office or place of profit in the Company, its subsidiary or its associate company;</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underwriting the subscription of any securities or derivatives of the Company;</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any loan, advance, guarantee, security or investment involving a related party, subject to the separate and stricter restrictions applicable to loans to directors and to persons in whom directors are interested;</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any transfer of resources, services or obligations between the Company and a related party, whether or not a price is charged; and</w:t>
      </w:r>
    </w:p>
    <w:p>
      <w:pPr>
        <w:spacing w:after="100" w:before="40" w:line="276"/>
        <w:ind w:left="1440" w:hanging="720"/>
        <w:jc w:val="both"/>
      </w:pPr>
      <w:r>
        <w:rPr>
          <w:rFonts w:ascii="Calibri" w:cs="Calibri" w:eastAsia="Calibri" w:hAnsi="Calibri"/>
          <w:sz w:val="21"/>
          <w:szCs w:val="21"/>
        </w:rPr>
        <w:t xml:space="preserve">(j)	</w:t>
      </w:r>
      <w:r>
        <w:rPr>
          <w:rFonts w:ascii="Calibri" w:cs="Calibri" w:eastAsia="Calibri" w:hAnsi="Calibri"/>
          <w:sz w:val="21"/>
          <w:szCs w:val="21"/>
        </w:rPr>
        <w:t xml:space="preserve">any other transaction required by law or by the applicable accounting standard to be treated as a related party transaction.</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A transaction is within this policy whether it is a single transaction or one of a series, and whether or not it is documented in writing.</w:t>
      </w:r>
    </w:p>
    <w:p>
      <w:pPr>
        <w:keepNext/>
        <w:spacing w:after="120" w:before="280"/>
        <w:outlineLvl w:val="0"/>
      </w:pPr>
      <w:r>
        <w:rPr>
          <w:rFonts w:ascii="Calibri" w:cs="Calibri" w:eastAsia="Calibri" w:hAnsi="Calibri"/>
          <w:b/>
          <w:bCs/>
          <w:color w:val="14161B"/>
          <w:sz w:val="22"/>
          <w:szCs w:val="22"/>
        </w:rPr>
        <w:t xml:space="preserve">4. IDENTIFICATION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Every director and key managerial person shall disclose his or her concern or interest in any company, body corporate, firm or other association of individuals, in the form prescribed, at the first meeting of the Board in each financial year, on appointment, and whenever there is any change in the disclosure already made.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Company Secretary shall maintain a database of related parties derived from those disclosures, from the register of members, and from the Company’s group structure, shall update it on every change, and shall make it available to the finance, procurement and legal functions.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finance and procurement functions shall check every proposed counterparty against the related party database before any contract is entered into or any purchase order is issued, and shall escalate any match to the Company Secretary before the transaction proceeds.</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Any director, officer or employee who becomes aware that a proposed or existing transaction involves a related party shall report it to the Company Secretary immediately, whether or not the transaction has been approved.</w:t>
      </w:r>
    </w:p>
    <w:p>
      <w:pPr>
        <w:keepNext/>
        <w:spacing w:after="120" w:before="280"/>
        <w:outlineLvl w:val="0"/>
      </w:pPr>
      <w:r>
        <w:rPr>
          <w:rFonts w:ascii="Calibri" w:cs="Calibri" w:eastAsia="Calibri" w:hAnsi="Calibri"/>
          <w:b/>
          <w:bCs/>
          <w:color w:val="14161B"/>
          <w:sz w:val="22"/>
          <w:szCs w:val="22"/>
        </w:rPr>
        <w:t xml:space="preserve">5. THRESHOLDS AND APPROVAL</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approval required for a related party transaction depends on whether the transaction is in the ordinary course of business and on an arm’s length basis, and on its value, as set out in the approval matrix in Annexure A.</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 related party transaction that is both in the ordinary course of business and on an arm’s length basis requires the approvals set out in Annexure A but does not require the approval of the members, irrespective of value, unless the applicable law otherwise requires.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A related party transaction that is not in the ordinary course of business, or is not on an arm’s length basis, requires the prior approval of the Board and, where it exceeds the threshold prescribed by law, the prior approval of the members by resolution.</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For the purposes of applying any threshold, the value of a transaction shall be aggregated with the value of all other transactions of the same nature entered into with the same related party during the financial year, whether or not previously approved.</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No related party transaction shall be entered into before the required approval has been obtained. Approval after the event is not permitted save where the law expressly allows ratification, and any transaction entered into without approval shall be reported to the Board at its next meeting together with an explanation of how it occurred.</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b/>
          <w:bCs/>
          <w:sz w:val="21"/>
          <w:szCs w:val="21"/>
        </w:rPr>
        <w:t xml:space="preserve">Omnibus approval.</w:t>
      </w:r>
      <w:r>
        <w:rPr>
          <w:rFonts w:ascii="Calibri" w:cs="Calibri" w:eastAsia="Calibri" w:hAnsi="Calibri"/>
          <w:sz w:val="21"/>
          <w:szCs w:val="21"/>
        </w:rPr>
        <w:t xml:space="preserve"> </w:t>
      </w:r>
      <w:r>
        <w:rPr>
          <w:rFonts w:ascii="Calibri" w:cs="Calibri" w:eastAsia="Calibri" w:hAnsi="Calibri"/>
          <w:b/>
          <w:bCs/>
          <w:sz w:val="21"/>
          <w:szCs w:val="21"/>
        </w:rPr>
        <w:t xml:space="preserve">[Where the Company has an Audit Committee,]</w:t>
      </w:r>
      <w:r>
        <w:rPr>
          <w:rFonts w:ascii="Calibri" w:cs="Calibri" w:eastAsia="Calibri" w:hAnsi="Calibri"/>
          <w:sz w:val="21"/>
          <w:szCs w:val="21"/>
        </w:rPr>
        <w:t xml:space="preserve"> approval may be given on an omnibus basis for transactions of a repetitive nature, provided the approval specifies the name of the related party, the nature and duration of the transaction, the maximum aggregate value, the indicative price or the formula for determining it, and any other condition. An omnibus approval shall be valid for one financial year and shall be reviewed at least quarterly against actual transactions. No omnibus approval shall be given for a transaction whose value cannot be estimated, save up to the limit set out in Annexure A per transaction.</w:t>
      </w:r>
    </w:p>
    <w:p>
      <w:pPr>
        <w:keepNext/>
        <w:spacing w:after="120" w:before="280"/>
        <w:outlineLvl w:val="0"/>
      </w:pPr>
      <w:r>
        <w:rPr>
          <w:rFonts w:ascii="Calibri" w:cs="Calibri" w:eastAsia="Calibri" w:hAnsi="Calibri"/>
          <w:b/>
          <w:bCs/>
          <w:color w:val="14161B"/>
          <w:sz w:val="22"/>
          <w:szCs w:val="22"/>
        </w:rPr>
        <w:t xml:space="preserve">6. EVALUATING ARM’S LENGTH</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A proposal for a related party transaction shall be supported by an evaluation demonstrating that the terms are at arm’s length, which shall include, so far as available: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not fewer than </w:t>
      </w:r>
      <w:r>
        <w:rPr>
          <w:rFonts w:ascii="Calibri" w:cs="Calibri" w:eastAsia="Calibri" w:hAnsi="Calibri"/>
          <w:b/>
          <w:bCs/>
          <w:sz w:val="21"/>
          <w:szCs w:val="21"/>
        </w:rPr>
        <w:t xml:space="preserve">[two]</w:t>
      </w:r>
      <w:r>
        <w:rPr>
          <w:rFonts w:ascii="Calibri" w:cs="Calibri" w:eastAsia="Calibri" w:hAnsi="Calibri"/>
          <w:sz w:val="21"/>
          <w:szCs w:val="21"/>
        </w:rPr>
        <w:t xml:space="preserve"> written quotations or price references from unrelated parties for comparable goods or services;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price at which the Company has transacted with unrelated parties for the same or comparable goods or services in the preceding </w:t>
      </w:r>
      <w:r>
        <w:rPr>
          <w:rFonts w:ascii="Calibri" w:cs="Calibri" w:eastAsia="Calibri" w:hAnsi="Calibri"/>
          <w:b/>
          <w:bCs/>
          <w:sz w:val="21"/>
          <w:szCs w:val="21"/>
        </w:rPr>
        <w:t xml:space="preserve">[12]</w:t>
      </w:r>
      <w:r>
        <w:rPr>
          <w:rFonts w:ascii="Calibri" w:cs="Calibri" w:eastAsia="Calibri" w:hAnsi="Calibri"/>
          <w:sz w:val="21"/>
          <w:szCs w:val="21"/>
        </w:rPr>
        <w:t xml:space="preserve"> months;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published price lists, market rates, industry benchmarks or an independent valuation, where quotations are not available;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 comparison of the non-price terms — payment period, delivery, service levels, warranty, liability, termination and exclusivity — against the terms the Company would expect from an unrelated party;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where the terms are less favourable to the Company than those available from an unrelated party, a statement of the commercial reason for nevertheless entering into the transaction.</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A statement that a transaction is at arm’s length, unsupported by the evidence described in Clause 6.1, does not satisfy this policy. The supporting evidence shall be retained with the approval record for not less than </w:t>
      </w:r>
      <w:r>
        <w:rPr>
          <w:rFonts w:ascii="Calibri" w:cs="Calibri" w:eastAsia="Calibri" w:hAnsi="Calibri"/>
          <w:b/>
          <w:bCs/>
          <w:sz w:val="21"/>
          <w:szCs w:val="21"/>
        </w:rPr>
        <w:t xml:space="preserve">[8]</w:t>
      </w:r>
      <w:r>
        <w:rPr>
          <w:rFonts w:ascii="Calibri" w:cs="Calibri" w:eastAsia="Calibri" w:hAnsi="Calibri"/>
          <w:sz w:val="21"/>
          <w:szCs w:val="21"/>
        </w:rPr>
        <w:t xml:space="preserve"> years.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Where the Company routinely transacts with a related party, the arm’s length evaluation shall be refreshed at least annually and on any material change in the terms.</w:t>
      </w:r>
    </w:p>
    <w:p>
      <w:pPr>
        <w:keepNext/>
        <w:spacing w:after="120" w:before="280"/>
        <w:outlineLvl w:val="0"/>
      </w:pPr>
      <w:r>
        <w:rPr>
          <w:rFonts w:ascii="Calibri" w:cs="Calibri" w:eastAsia="Calibri" w:hAnsi="Calibri"/>
          <w:b/>
          <w:bCs/>
          <w:color w:val="14161B"/>
          <w:sz w:val="22"/>
          <w:szCs w:val="22"/>
        </w:rPr>
        <w:t xml:space="preserve">7. CONDUCT OF INTERESTED PERSONS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A director interested in a transaction shall disclose the nature and extent of that interest at the meeting at which the transaction is considered, and shall not vote on the resolution. </w:t>
      </w:r>
      <w:r>
        <w:rPr>
          <w:rFonts w:ascii="Calibri" w:cs="Calibri" w:eastAsia="Calibri" w:hAnsi="Calibri"/>
          <w:b/>
          <w:bCs/>
          <w:sz w:val="21"/>
          <w:szCs w:val="21"/>
        </w:rPr>
        <w:t xml:space="preserve">[Where the law permits an interested director of a company of this class to participate after disclosure, the Board shall nonetheless record whether the interested director withdrew, abstained or participated.]</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An employee interested in a transaction, or related to the counterparty, shall not participate in the selection of the counterparty, the negotiation of terms, the approval of any invoice, or the assessment of performance, and shall disclose the interest in writing to the Company Secretary before the transaction is proposed.</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The person authorised to execute a related party transaction on behalf of the Company shall be a person not interested in it.</w:t>
      </w:r>
    </w:p>
    <w:p>
      <w:pPr>
        <w:keepNext/>
        <w:spacing w:after="120" w:before="280"/>
        <w:outlineLvl w:val="0"/>
      </w:pPr>
      <w:r>
        <w:rPr>
          <w:rFonts w:ascii="Calibri" w:cs="Calibri" w:eastAsia="Calibri" w:hAnsi="Calibri"/>
          <w:b/>
          <w:bCs/>
          <w:color w:val="14161B"/>
          <w:sz w:val="22"/>
          <w:szCs w:val="22"/>
        </w:rPr>
        <w:t xml:space="preserve">8. RECORDING, MONITORING AND DISCLOSURE</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particulars of every related party transaction shall be entered in the register of contracts or arrangements in which directors are interested, in the form prescribed, and the register shall be placed before the next meeting of the Board and signed by the directors present.</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Company Secretary shall place before the Board </w:t>
      </w:r>
      <w:r>
        <w:rPr>
          <w:rFonts w:ascii="Calibri" w:cs="Calibri" w:eastAsia="Calibri" w:hAnsi="Calibri"/>
          <w:b/>
          <w:bCs/>
          <w:sz w:val="21"/>
          <w:szCs w:val="21"/>
        </w:rPr>
        <w:t xml:space="preserve">[and the Audit Committee]</w:t>
      </w:r>
      <w:r>
        <w:rPr>
          <w:rFonts w:ascii="Calibri" w:cs="Calibri" w:eastAsia="Calibri" w:hAnsi="Calibri"/>
          <w:sz w:val="21"/>
          <w:szCs w:val="21"/>
        </w:rPr>
        <w:t xml:space="preserve"> at each quarterly meeting a statement of all related party transactions entered into during the quarter, showing for each the related party, the nature and value of the transaction, the aggregate value with that related party in the financial year to date, the approval relied on, and whether performance has been in accordance with the approved terms.</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Any material variation between the approved terms and the terms actually performed shall be reported to the Board promptly and shall require fresh approval.</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Related party transactions shall be disclosed in the Board’s report and in the notes to the financial statements as required, and transactions not at arm’s length or not in the ordinary course shall be disclosed in the prescribed form together with the justification for entering into them.</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This policy shall be </w:t>
      </w:r>
      <w:r>
        <w:rPr>
          <w:rFonts w:ascii="Calibri" w:cs="Calibri" w:eastAsia="Calibri" w:hAnsi="Calibri"/>
          <w:b/>
          <w:bCs/>
          <w:sz w:val="21"/>
          <w:szCs w:val="21"/>
        </w:rPr>
        <w:t xml:space="preserve">[published on the website of the Company / made available at the registered office]</w:t>
      </w:r>
      <w:r>
        <w:rPr>
          <w:rFonts w:ascii="Calibri" w:cs="Calibri" w:eastAsia="Calibri" w:hAnsi="Calibri"/>
          <w:sz w:val="21"/>
          <w:szCs w:val="21"/>
        </w:rPr>
        <w:t xml:space="preserve"> and shall be referred to in the Board’s report.</w:t>
      </w:r>
    </w:p>
    <w:p>
      <w:pPr>
        <w:keepNext/>
        <w:spacing w:after="120" w:before="280"/>
        <w:outlineLvl w:val="0"/>
      </w:pPr>
      <w:r>
        <w:rPr>
          <w:rFonts w:ascii="Calibri" w:cs="Calibri" w:eastAsia="Calibri" w:hAnsi="Calibri"/>
          <w:b/>
          <w:bCs/>
          <w:color w:val="14161B"/>
          <w:sz w:val="22"/>
          <w:szCs w:val="22"/>
        </w:rPr>
        <w:t xml:space="preserve">9. TRANSACTIONS NOT PERMITTED</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The following shall not be entered into under this policy and require separate consideration and, where applicable, separate approval: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any loan, advance, guarantee or security to a director of the Company or of its holding company, to a partner or relative of such a director, or to a firm in which such a director or relative is a partner, or to any other person in whom a director is interested, save to the extent expressly permitted by law and subject to the conditions prescribed;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any transaction that would result in the diversion of a business opportunity of the Company to a related party;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any payment to a related party for which the Company receives no identifiable benefit;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any transaction structured so as to fall below a threshold that the transaction, viewed as a whole, would exceed.</w:t>
      </w:r>
    </w:p>
    <w:p>
      <w:pPr>
        <w:keepNext/>
        <w:spacing w:after="120" w:before="280"/>
        <w:outlineLvl w:val="0"/>
      </w:pPr>
      <w:r>
        <w:rPr>
          <w:rFonts w:ascii="Calibri" w:cs="Calibri" w:eastAsia="Calibri" w:hAnsi="Calibri"/>
          <w:b/>
          <w:bCs/>
          <w:color w:val="14161B"/>
          <w:sz w:val="22"/>
          <w:szCs w:val="22"/>
        </w:rPr>
        <w:t xml:space="preserve">10. CONSEQUENCES OF BREACH</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A transaction entered into in breach of this policy or of the applicable law may be voidable at the option of the Board, and the director or employee concerned may be required to indemnify the Company against any loss arising from it.</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Breach of this policy by an employee shall be treated as a disciplinary matter and may result in action up to and including termination of employment.</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The Company Secretary shall report every breach to the Board </w:t>
      </w:r>
      <w:r>
        <w:rPr>
          <w:rFonts w:ascii="Calibri" w:cs="Calibri" w:eastAsia="Calibri" w:hAnsi="Calibri"/>
          <w:b/>
          <w:bCs/>
          <w:sz w:val="21"/>
          <w:szCs w:val="21"/>
        </w:rPr>
        <w:t xml:space="preserve">[and the Audit Committee]</w:t>
      </w:r>
      <w:r>
        <w:rPr>
          <w:rFonts w:ascii="Calibri" w:cs="Calibri" w:eastAsia="Calibri" w:hAnsi="Calibri"/>
          <w:sz w:val="21"/>
          <w:szCs w:val="21"/>
        </w:rPr>
        <w:t xml:space="preserve"> at its next meeting, with the circumstances and the remedial action taken.</w:t>
      </w:r>
    </w:p>
    <w:p>
      <w:pPr>
        <w:keepNext/>
        <w:spacing w:after="120" w:before="280"/>
        <w:outlineLvl w:val="0"/>
      </w:pPr>
      <w:r>
        <w:rPr>
          <w:rFonts w:ascii="Calibri" w:cs="Calibri" w:eastAsia="Calibri" w:hAnsi="Calibri"/>
          <w:b/>
          <w:bCs/>
          <w:color w:val="14161B"/>
          <w:sz w:val="22"/>
          <w:szCs w:val="22"/>
        </w:rPr>
        <w:t xml:space="preserve">11. REVIEW</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This policy shall be reviewed by the Board at least annually and on any change in the applicable law, and any amendment shall be approved by the Board </w:t>
      </w:r>
      <w:r>
        <w:rPr>
          <w:rFonts w:ascii="Calibri" w:cs="Calibri" w:eastAsia="Calibri" w:hAnsi="Calibri"/>
          <w:b/>
          <w:bCs/>
          <w:sz w:val="21"/>
          <w:szCs w:val="21"/>
        </w:rPr>
        <w:t xml:space="preserve">[on the recommendation of the Audit Committee]</w:t>
      </w:r>
      <w:r>
        <w:rPr>
          <w:rFonts w:ascii="Calibri" w:cs="Calibri" w:eastAsia="Calibri" w:hAnsi="Calibri"/>
          <w:sz w:val="21"/>
          <w:szCs w:val="21"/>
        </w:rPr>
        <w:t xml:space="preserve"> and recorded with its version number and effective date.</w:t>
      </w:r>
    </w:p>
    <w:p>
      <w:pPr>
        <w:spacing w:after="240"/>
      </w:pPr>
    </w:p>
    <w:p>
      <w:pPr>
        <w:spacing w:after="240" w:before="0" w:line="276"/>
        <w:jc w:val="both"/>
      </w:pPr>
      <w:r>
        <w:rPr>
          <w:rFonts w:ascii="Calibri" w:cs="Calibri" w:eastAsia="Calibri" w:hAnsi="Calibri"/>
          <w:b/>
          <w:bCs/>
          <w:sz w:val="21"/>
          <w:szCs w:val="21"/>
        </w:rPr>
        <w:t xml:space="preserve">Approved by the Board of Directors of </w:t>
      </w:r>
      <w:r>
        <w:rPr>
          <w:rFonts w:ascii="Calibri" w:cs="Calibri" w:eastAsia="Calibri" w:hAnsi="Calibri"/>
          <w:b/>
          <w:bCs/>
          <w:sz w:val="21"/>
          <w:szCs w:val="21"/>
        </w:rPr>
        <w:t xml:space="preserve">[COMPANY NAME]</w:t>
      </w:r>
      <w:r>
        <w:rPr>
          <w:rFonts w:ascii="Calibri" w:cs="Calibri" w:eastAsia="Calibri" w:hAnsi="Calibri"/>
          <w:b/>
          <w:bCs/>
          <w:sz w:val="21"/>
          <w:szCs w:val="21"/>
        </w:rPr>
        <w:t xml:space="preserve"> on </w:t>
      </w:r>
      <w:r>
        <w:rPr>
          <w:rFonts w:ascii="Calibri" w:cs="Calibri" w:eastAsia="Calibri" w:hAnsi="Calibri"/>
          <w:b/>
          <w:bCs/>
          <w:sz w:val="21"/>
          <w:szCs w:val="21"/>
        </w:rPr>
        <w:t xml:space="preserve">[DATE]</w:t>
      </w:r>
      <w:r>
        <w:rPr>
          <w:rFonts w:ascii="Calibri" w:cs="Calibri" w:eastAsia="Calibri" w:hAnsi="Calibri"/>
          <w:b/>
          <w:bCs/>
          <w:sz w:val="21"/>
          <w:szCs w:val="21"/>
        </w:rPr>
        <w:t xml:space="preser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[Chairperson / 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[Company Secretary]</w:t>
            </w:r>
          </w:p>
          <w:p>
            <w:pPr>
              <w:spacing w:after="90" w:line="264"/>
            </w:pPr>
            <w:r>
              <w:rPr>
                <w:rFonts w:ascii="Calibri" w:cs="Calibri" w:eastAsia="Calibri" w:hAnsi="Calibri"/>
                <w:sz w:val="21"/>
                <w:szCs w:val="21"/>
              </w:rPr>
              <w:t xml:space="preserve">Membership No.: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Approval Matrix</w:t>
      </w:r>
    </w:p>
    <w:p>
      <w:pPr>
        <w:spacing w:after="140" w:before="0" w:line="276"/>
        <w:jc w:val="both"/>
      </w:pPr>
      <w:r>
        <w:rPr>
          <w:rFonts w:ascii="Calibri" w:cs="Calibri" w:eastAsia="Calibri" w:hAnsi="Calibri"/>
          <w:i/>
          <w:iCs/>
          <w:sz w:val="21"/>
          <w:szCs w:val="21"/>
        </w:rPr>
        <w:t xml:space="preserve">Set the monetary thresholds to the Company’s scale. Thresholds left blank are the reason policies of this kind are ignored.</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3007"/>
        <w:gridCol w:w="1654"/>
        <w:gridCol w:w="1804"/>
        <w:gridCol w:w="1654"/>
        <w:gridCol w:w="1654"/>
        <w:gridCol w:w="2105"/>
        <w:gridCol w:w="2559"/>
      </w:tblGrid>
      <w:tr>
        <w:trPr>
          <w:tblHeader/>
        </w:trPr>
        <w:tc>
          <w:tcPr>
            <w:tcW w:type="dxa" w:w="6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30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Nature of transaction</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Ordinary course and arm’s length?</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Value</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Audit Committee</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Board</w:t>
            </w:r>
          </w:p>
        </w:tc>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Members</w:t>
            </w:r>
          </w:p>
        </w:tc>
        <w:tc>
          <w:tcPr>
            <w:tcW w:type="dxa" w:w="255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Evidence required</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Any category in Clause 3.1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Up to ₹ </w:t>
            </w:r>
            <w:r>
              <w:rPr>
                <w:rFonts w:ascii="Calibri" w:cs="Calibri" w:eastAsia="Calibri" w:hAnsi="Calibri"/>
                <w:b/>
                <w:bCs/>
                <w:sz w:val="16"/>
                <w:szCs w:val="16"/>
              </w:rPr>
              <w:t xml:space="preserve">[AMOUNT]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[Omnibus approval]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Quarterly noting</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 required</w:t>
            </w:r>
          </w:p>
        </w:tc>
        <w:tc>
          <w:tcPr>
            <w:tcW w:type="dxa" w:w="255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Two quotations; price comparison</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Any category in Clause 3.1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 </w:t>
            </w:r>
            <w:r>
              <w:rPr>
                <w:rFonts w:ascii="Calibri" w:cs="Calibri" w:eastAsia="Calibri" w:hAnsi="Calibri"/>
                <w:b/>
                <w:bCs/>
                <w:sz w:val="16"/>
                <w:szCs w:val="16"/>
              </w:rPr>
              <w:t xml:space="preserve">[AMOUNT]</w:t>
            </w:r>
            <w:r>
              <w:rPr>
                <w:rFonts w:ascii="Calibri" w:cs="Calibri" w:eastAsia="Calibri" w:hAnsi="Calibri"/>
                <w:sz w:val="16"/>
                <w:szCs w:val="16"/>
              </w:rPr>
              <w:t xml:space="preserve"> to ₹ </w:t>
            </w:r>
            <w:r>
              <w:rPr>
                <w:rFonts w:ascii="Calibri" w:cs="Calibri" w:eastAsia="Calibri" w:hAnsi="Calibri"/>
                <w:b/>
                <w:bCs/>
                <w:sz w:val="16"/>
                <w:szCs w:val="16"/>
              </w:rPr>
              <w:t xml:space="preserve">[AMOUNT]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 required</w:t>
            </w:r>
          </w:p>
        </w:tc>
        <w:tc>
          <w:tcPr>
            <w:tcW w:type="dxa" w:w="255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Two quotations; written arm’s length evaluation</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Any category in Clause 3.1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Above ₹ </w:t>
            </w:r>
            <w:r>
              <w:rPr>
                <w:rFonts w:ascii="Calibri" w:cs="Calibri" w:eastAsia="Calibri" w:hAnsi="Calibri"/>
                <w:b/>
                <w:bCs/>
                <w:sz w:val="16"/>
                <w:szCs w:val="16"/>
              </w:rPr>
              <w:t xml:space="preserve">[AMOUNT]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As required by law</w:t>
            </w:r>
          </w:p>
        </w:tc>
        <w:tc>
          <w:tcPr>
            <w:tcW w:type="dxa" w:w="255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Independent benchmarking or valuation</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Any category in Clause 3.1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Any value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 where the prescribed threshold is exceeded</w:t>
            </w:r>
          </w:p>
        </w:tc>
        <w:tc>
          <w:tcPr>
            <w:tcW w:type="dxa" w:w="255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Full evaluation and written justification</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Appointment to an office or place of profit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Either</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Any value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As required by law</w:t>
            </w:r>
          </w:p>
        </w:tc>
        <w:tc>
          <w:tcPr>
            <w:tcW w:type="dxa" w:w="255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Comparative remuneration data</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Lease of immovable property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Either</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Any value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As required by law</w:t>
            </w:r>
          </w:p>
        </w:tc>
        <w:tc>
          <w:tcPr>
            <w:tcW w:type="dxa" w:w="255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Independent rental valuation</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Loan, guarantee, security or investment involving a related party</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Either</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Any value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As required by law</w:t>
            </w:r>
          </w:p>
        </w:tc>
        <w:tc>
          <w:tcPr>
            <w:tcW w:type="dxa" w:w="255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Legal opinion on permissibility</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Transaction whose value cannot be estimated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Yes</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Up to ₹ </w:t>
            </w:r>
            <w:r>
              <w:rPr>
                <w:rFonts w:ascii="Calibri" w:cs="Calibri" w:eastAsia="Calibri" w:hAnsi="Calibri"/>
                <w:b/>
                <w:bCs/>
                <w:sz w:val="16"/>
                <w:szCs w:val="16"/>
              </w:rPr>
              <w:t xml:space="preserve">[AMOUNT]</w:t>
            </w:r>
            <w:r>
              <w:rPr>
                <w:rFonts w:ascii="Calibri" w:cs="Calibri" w:eastAsia="Calibri" w:hAnsi="Calibri"/>
                <w:sz w:val="16"/>
                <w:szCs w:val="16"/>
              </w:rPr>
              <w:t xml:space="preserve"> per transaction</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Omnibus approval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Quarterly noting</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Not required</w:t>
            </w:r>
          </w:p>
        </w:tc>
        <w:tc>
          <w:tcPr>
            <w:tcW w:type="dxa" w:w="255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Basis of estimation recorded</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Any transaction with a party to which the Company’s aggregate exposure in the financial year already exceeds ₹ </w:t>
            </w:r>
            <w:r>
              <w:rPr>
                <w:rFonts w:ascii="Calibri" w:cs="Calibri" w:eastAsia="Calibri" w:hAnsi="Calibri"/>
                <w:b/>
                <w:bCs/>
                <w:sz w:val="16"/>
                <w:szCs w:val="16"/>
              </w:rPr>
              <w:t xml:space="preserve">[AMOUNT]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Either</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Any value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Prior approval</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As required by law</w:t>
            </w:r>
          </w:p>
        </w:tc>
        <w:tc>
          <w:tcPr>
            <w:tcW w:type="dxa" w:w="2559"/>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Aggregate exposure statement</w:t>
            </w:r>
          </w:p>
        </w:tc>
      </w:tr>
    </w:tbl>
    <w:p>
      <w:pPr>
        <w:spacing w:after="18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Quarterly Statement of Related Party Transactions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1954"/>
        <w:gridCol w:w="1954"/>
        <w:gridCol w:w="2406"/>
        <w:gridCol w:w="1654"/>
        <w:gridCol w:w="1654"/>
        <w:gridCol w:w="1654"/>
        <w:gridCol w:w="1804"/>
        <w:gridCol w:w="1357"/>
      </w:tblGrid>
      <w:tr>
        <w:trPr>
          <w:tblHeader/>
        </w:trPr>
        <w:tc>
          <w:tcPr>
            <w:tcW w:type="dxa" w:w="6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Related party</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Nature of relationship</w:t>
            </w:r>
          </w:p>
        </w:tc>
        <w:tc>
          <w:tcPr>
            <w:tcW w:type="dxa" w:w="24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Nature of transaction</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Value in quarter (₹)</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Aggregate in FY (₹)</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Ordinary course and arm’s length</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Approval relied on</w:t>
            </w:r>
          </w:p>
        </w:tc>
        <w:tc>
          <w:tcPr>
            <w:tcW w:type="dxa" w:w="13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Performance in line with terms</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[BASIS]</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[DESCRIPTION]</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[Board / AC / Members, dated ______]</w:t>
            </w:r>
          </w:p>
        </w:tc>
        <w:tc>
          <w:tcPr>
            <w:tcW w:type="dxa" w:w="135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 — remarks]</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[BASIS]</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[DESCRIPTION]</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[APPROVAL]</w:t>
            </w:r>
          </w:p>
        </w:tc>
        <w:tc>
          <w:tcPr>
            <w:tcW w:type="dxa" w:w="135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601"/>
            <w:tcMar>
              <w:top w:type="dxa" w:w="70"/>
              <w:left w:type="dxa" w:w="100"/>
              <w:bottom w:type="dxa" w:w="70"/>
              <w:right w:type="dxa" w:w="100"/>
            </w:tcMar>
            <w:vAlign w:val="center"/>
          </w:tcPr>
          <w:p>
            <w:pPr>
              <w:spacing w:after="0" w:line="240"/>
              <w:jc w:val="left"/>
            </w:pP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Total</w:t>
            </w:r>
          </w:p>
        </w:tc>
        <w:tc>
          <w:tcPr>
            <w:tcW w:type="dxa" w:w="1954"/>
            <w:tcMar>
              <w:top w:type="dxa" w:w="70"/>
              <w:left w:type="dxa" w:w="100"/>
              <w:bottom w:type="dxa" w:w="70"/>
              <w:right w:type="dxa" w:w="100"/>
            </w:tcMar>
            <w:vAlign w:val="center"/>
          </w:tcPr>
          <w:p>
            <w:pPr>
              <w:spacing w:after="0" w:line="240"/>
              <w:jc w:val="left"/>
            </w:pPr>
          </w:p>
        </w:tc>
        <w:tc>
          <w:tcPr>
            <w:tcW w:type="dxa" w:w="2406"/>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[AMOUNT]</w:t>
            </w:r>
          </w:p>
        </w:tc>
        <w:tc>
          <w:tcPr>
            <w:tcW w:type="dxa" w:w="1654"/>
            <w:tcMar>
              <w:top w:type="dxa" w:w="70"/>
              <w:left w:type="dxa" w:w="100"/>
              <w:bottom w:type="dxa" w:w="70"/>
              <w:right w:type="dxa" w:w="100"/>
            </w:tcMar>
            <w:vAlign w:val="center"/>
          </w:tcPr>
          <w:p>
            <w:pPr>
              <w:spacing w:after="0" w:line="240"/>
              <w:jc w:val="left"/>
            </w:pPr>
          </w:p>
        </w:tc>
        <w:tc>
          <w:tcPr>
            <w:tcW w:type="dxa" w:w="1804"/>
            <w:tcMar>
              <w:top w:type="dxa" w:w="70"/>
              <w:left w:type="dxa" w:w="100"/>
              <w:bottom w:type="dxa" w:w="70"/>
              <w:right w:type="dxa" w:w="100"/>
            </w:tcMar>
            <w:vAlign w:val="center"/>
          </w:tcPr>
          <w:p>
            <w:pPr>
              <w:spacing w:after="0" w:line="240"/>
              <w:jc w:val="left"/>
            </w:pPr>
          </w:p>
        </w:tc>
        <w:tc>
          <w:tcPr>
            <w:tcW w:type="dxa" w:w="1357"/>
            <w:tcMar>
              <w:top w:type="dxa" w:w="70"/>
              <w:left w:type="dxa" w:w="100"/>
              <w:bottom w:type="dxa" w:w="70"/>
              <w:right w:type="dxa" w:w="100"/>
            </w:tcMar>
            <w:vAlign w:val="center"/>
          </w:tcPr>
          <w:p>
            <w:pPr>
              <w:spacing w:after="0" w:line="240"/>
              <w:jc w:val="left"/>
            </w:pP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 policy without thresholds is not a policy</w:t>
      </w:r>
    </w:p>
    <w:p>
      <w:pPr>
        <w:spacing w:after="60" w:line="264"/>
        <w:jc w:val="both"/>
      </w:pPr>
      <w:r>
        <w:rPr>
          <w:rFonts w:ascii="Calibri" w:cs="Calibri" w:eastAsia="Calibri" w:hAnsi="Calibri"/>
          <w:sz w:val="19"/>
          <w:szCs w:val="19"/>
        </w:rPr>
        <w:t xml:space="preserve">The single most common failure is adopting a well-drafted policy in which every monetary threshold is left as a blank. Nobody can comply with it, so nobody tries. Set the numbers to the Company’s actual scale before adopting, and revisit them as the Company grows.</w:t>
      </w:r>
    </w:p>
    <w:p>
      <w:pPr>
        <w:keepNext/>
        <w:spacing w:after="40" w:before="140"/>
      </w:pPr>
      <w:r>
        <w:rPr>
          <w:rFonts w:ascii="Calibri" w:cs="Calibri" w:eastAsia="Calibri" w:hAnsi="Calibri"/>
          <w:b/>
          <w:bCs/>
          <w:color w:val="14161B"/>
          <w:sz w:val="20"/>
          <w:szCs w:val="20"/>
        </w:rPr>
        <w:t xml:space="preserve">Identification is the hard part, not approval</w:t>
      </w:r>
    </w:p>
    <w:p>
      <w:pPr>
        <w:spacing w:after="60" w:line="264"/>
        <w:jc w:val="both"/>
      </w:pPr>
      <w:r>
        <w:rPr>
          <w:rFonts w:ascii="Calibri" w:cs="Calibri" w:eastAsia="Calibri" w:hAnsi="Calibri"/>
          <w:sz w:val="19"/>
          <w:szCs w:val="19"/>
        </w:rPr>
        <w:t xml:space="preserve">Companies rarely fail to approve a related party transaction they know about. They fail to notice that a transaction involves a related party at all — because a director’s spouse is a partner in the supplier firm, or because a private company in which a director is a member has been onboarded through procurement. Clauses 4.2 and 4.3 are the operative controls: a maintained database, and a screening step before onboarding. Without them the rest of the policy is theatre.</w:t>
      </w:r>
    </w:p>
    <w:p>
      <w:pPr>
        <w:keepNext/>
        <w:spacing w:after="40" w:before="140"/>
      </w:pPr>
      <w:r>
        <w:rPr>
          <w:rFonts w:ascii="Calibri" w:cs="Calibri" w:eastAsia="Calibri" w:hAnsi="Calibri"/>
          <w:b/>
          <w:bCs/>
          <w:color w:val="14161B"/>
          <w:sz w:val="20"/>
          <w:szCs w:val="20"/>
        </w:rPr>
        <w:t xml:space="preserve">The definition is wider than people expect</w:t>
      </w:r>
    </w:p>
    <w:p>
      <w:pPr>
        <w:spacing w:after="60" w:line="264"/>
        <w:jc w:val="both"/>
      </w:pPr>
      <w:r>
        <w:rPr>
          <w:rFonts w:ascii="Calibri" w:cs="Calibri" w:eastAsia="Calibri" w:hAnsi="Calibri"/>
          <w:sz w:val="19"/>
          <w:szCs w:val="19"/>
        </w:rPr>
        <w:t xml:space="preserve">Relatives, firms in which a relative is a partner, private companies in which a director is merely a member, and bodies corporate accustomed to act on a director’s directions are all caught. Collect the annual disclosure of interest properly, in the prescribed form, and treat it as the foundation of the database rather than a filing formality.</w:t>
      </w:r>
    </w:p>
    <w:p>
      <w:pPr>
        <w:keepNext/>
        <w:spacing w:after="40" w:before="140"/>
      </w:pPr>
      <w:r>
        <w:rPr>
          <w:rFonts w:ascii="Calibri" w:cs="Calibri" w:eastAsia="Calibri" w:hAnsi="Calibri"/>
          <w:b/>
          <w:bCs/>
          <w:color w:val="14161B"/>
          <w:sz w:val="20"/>
          <w:szCs w:val="20"/>
        </w:rPr>
        <w:t xml:space="preserve">Aggregate within the financial year</w:t>
      </w:r>
    </w:p>
    <w:p>
      <w:pPr>
        <w:spacing w:after="60" w:line="264"/>
        <w:jc w:val="both"/>
      </w:pPr>
      <w:r>
        <w:rPr>
          <w:rFonts w:ascii="Calibri" w:cs="Calibri" w:eastAsia="Calibri" w:hAnsi="Calibri"/>
          <w:sz w:val="19"/>
          <w:szCs w:val="19"/>
        </w:rPr>
        <w:t xml:space="preserve">Thresholds are tested on the aggregate value of transactions of the same nature with the same related party in a financial year. A series of individually small purchases can cross the threshold with nobody noticing, because each was approved on its own. Clause 5.4 and the aggregate column in Annexure B exist to catch this, and the quarterly statement is where it becomes visible.</w:t>
      </w:r>
    </w:p>
    <w:p>
      <w:pPr>
        <w:keepNext/>
        <w:spacing w:after="40" w:before="140"/>
      </w:pPr>
      <w:r>
        <w:rPr>
          <w:rFonts w:ascii="Calibri" w:cs="Calibri" w:eastAsia="Calibri" w:hAnsi="Calibri"/>
          <w:b/>
          <w:bCs/>
          <w:color w:val="14161B"/>
          <w:sz w:val="20"/>
          <w:szCs w:val="20"/>
        </w:rPr>
        <w:t xml:space="preserve">Do not let structuring creep in</w:t>
      </w:r>
    </w:p>
    <w:p>
      <w:pPr>
        <w:spacing w:after="60" w:line="264"/>
        <w:jc w:val="both"/>
      </w:pPr>
      <w:r>
        <w:rPr>
          <w:rFonts w:ascii="Calibri" w:cs="Calibri" w:eastAsia="Calibri" w:hAnsi="Calibri"/>
          <w:sz w:val="19"/>
          <w:szCs w:val="19"/>
        </w:rPr>
        <w:t xml:space="preserve">Clause 9.1(d) prohibits splitting a transaction to stay below a threshold. This happens more often through inattention than design — a single annual engagement issued as four quarterly purchase orders. Ask whether the transaction, viewed as a whole, would have needed a different approval.</w:t>
      </w:r>
    </w:p>
    <w:p>
      <w:pPr>
        <w:keepNext/>
        <w:spacing w:after="40" w:before="140"/>
      </w:pPr>
      <w:r>
        <w:rPr>
          <w:rFonts w:ascii="Calibri" w:cs="Calibri" w:eastAsia="Calibri" w:hAnsi="Calibri"/>
          <w:b/>
          <w:bCs/>
          <w:color w:val="14161B"/>
          <w:sz w:val="20"/>
          <w:szCs w:val="20"/>
        </w:rPr>
        <w:t xml:space="preserve">Arm’s length must be evidenced, not asserted</w:t>
      </w:r>
    </w:p>
    <w:p>
      <w:pPr>
        <w:spacing w:after="60" w:line="264"/>
        <w:jc w:val="both"/>
      </w:pPr>
      <w:r>
        <w:rPr>
          <w:rFonts w:ascii="Calibri" w:cs="Calibri" w:eastAsia="Calibri" w:hAnsi="Calibri"/>
          <w:sz w:val="19"/>
          <w:szCs w:val="19"/>
        </w:rPr>
        <w:t xml:space="preserve">Clause 6.2 says plainly that an unsupported assertion does not satisfy the policy. Two quotations and a written comparison is a low bar and is usually achievable. Where it genuinely is not — a unique service, a group shared function — use published benchmarks or an independent valuation and record why quotations were unavailable.</w:t>
      </w:r>
    </w:p>
    <w:p>
      <w:pPr>
        <w:keepNext/>
        <w:spacing w:after="40" w:before="140"/>
      </w:pPr>
      <w:r>
        <w:rPr>
          <w:rFonts w:ascii="Calibri" w:cs="Calibri" w:eastAsia="Calibri" w:hAnsi="Calibri"/>
          <w:b/>
          <w:bCs/>
          <w:color w:val="14161B"/>
          <w:sz w:val="20"/>
          <w:szCs w:val="20"/>
        </w:rPr>
        <w:t xml:space="preserve">Omnibus approval is useful and is often misused</w:t>
      </w:r>
    </w:p>
    <w:p>
      <w:pPr>
        <w:spacing w:after="60" w:line="264"/>
        <w:jc w:val="both"/>
      </w:pPr>
      <w:r>
        <w:rPr>
          <w:rFonts w:ascii="Calibri" w:cs="Calibri" w:eastAsia="Calibri" w:hAnsi="Calibri"/>
          <w:sz w:val="19"/>
          <w:szCs w:val="19"/>
        </w:rPr>
        <w:t xml:space="preserve">It is intended for repetitive transactions whose parameters can be specified in advance: the party, the nature, the duration, the maximum aggregate value and the pricing basis. An omnibus approval that says "transactions with group companies up to ₹ 5 crore" specifies nothing and will not withstand scrutiny. Review actual transactions against the approval quarterly, as Clause 5.6 requires.</w:t>
      </w:r>
    </w:p>
    <w:p>
      <w:pPr>
        <w:keepNext/>
        <w:spacing w:after="40" w:before="140"/>
      </w:pPr>
      <w:r>
        <w:rPr>
          <w:rFonts w:ascii="Calibri" w:cs="Calibri" w:eastAsia="Calibri" w:hAnsi="Calibri"/>
          <w:b/>
          <w:bCs/>
          <w:color w:val="14161B"/>
          <w:sz w:val="20"/>
          <w:szCs w:val="20"/>
        </w:rPr>
        <w:t xml:space="preserve">Loans to directors are a different regime</w:t>
      </w:r>
    </w:p>
    <w:p>
      <w:pPr>
        <w:spacing w:after="60" w:line="264"/>
        <w:jc w:val="both"/>
      </w:pPr>
      <w:r>
        <w:rPr>
          <w:rFonts w:ascii="Calibri" w:cs="Calibri" w:eastAsia="Calibri" w:hAnsi="Calibri"/>
          <w:sz w:val="19"/>
          <w:szCs w:val="19"/>
        </w:rPr>
        <w:t xml:space="preserve">Clause 9.1(a) is deliberately carved out. The prohibition on loans to directors and to persons in whom directors are interested is separate from, and stricter than, the related party transaction framework, with narrow and conditional exemptions. Do not process a loan to a director through this policy — take advice first.</w:t>
      </w:r>
    </w:p>
    <w:p>
      <w:pPr>
        <w:keepNext/>
        <w:spacing w:after="40" w:before="140"/>
      </w:pPr>
      <w:r>
        <w:rPr>
          <w:rFonts w:ascii="Calibri" w:cs="Calibri" w:eastAsia="Calibri" w:hAnsi="Calibri"/>
          <w:b/>
          <w:bCs/>
          <w:color w:val="14161B"/>
          <w:sz w:val="20"/>
          <w:szCs w:val="20"/>
        </w:rPr>
        <w:t xml:space="preserve">Tax and company law are not the same test</w:t>
      </w:r>
    </w:p>
    <w:p>
      <w:pPr>
        <w:spacing w:after="60" w:line="264"/>
        <w:jc w:val="both"/>
      </w:pPr>
      <w:r>
        <w:rPr>
          <w:rFonts w:ascii="Calibri" w:cs="Calibri" w:eastAsia="Calibri" w:hAnsi="Calibri"/>
          <w:sz w:val="19"/>
          <w:szCs w:val="19"/>
        </w:rPr>
        <w:t xml:space="preserve">Approval under company law does not answer the transfer pricing question or the goods and services tax valuation question. Supplies between related persons may be taxable without consideration, and the valuation rules differ from those applied to third parties. A shared service, a management fee or the free use of premises between group companies frequently has a tax consequence that the company law analysis does not surface. Route material related party arrangements past the tax adviser.</w:t>
      </w:r>
    </w:p>
    <w:p>
      <w:pPr>
        <w:keepNext/>
        <w:spacing w:after="40" w:before="140"/>
      </w:pPr>
      <w:r>
        <w:rPr>
          <w:rFonts w:ascii="Calibri" w:cs="Calibri" w:eastAsia="Calibri" w:hAnsi="Calibri"/>
          <w:b/>
          <w:bCs/>
          <w:color w:val="14161B"/>
          <w:sz w:val="20"/>
          <w:szCs w:val="20"/>
        </w:rPr>
        <w:t xml:space="preserve">The register is a permanent record</w:t>
      </w:r>
    </w:p>
    <w:p>
      <w:pPr>
        <w:spacing w:after="60" w:line="264"/>
        <w:jc w:val="both"/>
      </w:pPr>
      <w:r>
        <w:rPr>
          <w:rFonts w:ascii="Calibri" w:cs="Calibri" w:eastAsia="Calibri" w:hAnsi="Calibri"/>
          <w:sz w:val="19"/>
          <w:szCs w:val="19"/>
        </w:rPr>
        <w:t xml:space="preserve">The register of contracts must be kept at the registered office, entered at the time of the transaction, placed before the next Board meeting and signed. It is one of the first documents requested in diligence and one of the most commonly found to be written up retrospectively, which is visible from the handwriting and the sequence.</w:t>
      </w:r>
    </w:p>
    <w:p>
      <w:pPr>
        <w:keepNext/>
        <w:spacing w:after="40" w:before="140"/>
      </w:pPr>
      <w:r>
        <w:rPr>
          <w:rFonts w:ascii="Calibri" w:cs="Calibri" w:eastAsia="Calibri" w:hAnsi="Calibri"/>
          <w:b/>
          <w:bCs/>
          <w:color w:val="14161B"/>
          <w:sz w:val="20"/>
          <w:szCs w:val="20"/>
        </w:rPr>
        <w:t xml:space="preserve">Make the quarterly statement a standing item</w:t>
      </w:r>
    </w:p>
    <w:p>
      <w:pPr>
        <w:spacing w:after="60" w:line="264"/>
        <w:jc w:val="both"/>
      </w:pPr>
      <w:r>
        <w:rPr>
          <w:rFonts w:ascii="Calibri" w:cs="Calibri" w:eastAsia="Calibri" w:hAnsi="Calibri"/>
          <w:sz w:val="19"/>
          <w:szCs w:val="19"/>
        </w:rPr>
        <w:t xml:space="preserve">Annexure B, presented every quarter, is what converts this policy from a document into a control. It also produces, without additional work, the disclosure required in the Board’s report at year end and the data the auditors will ask for.</w:t>
      </w:r>
    </w:p>
    <w:p>
      <w:pPr>
        <w:keepNext/>
        <w:spacing w:after="40" w:before="140"/>
      </w:pPr>
      <w:r>
        <w:rPr>
          <w:rFonts w:ascii="Calibri" w:cs="Calibri" w:eastAsia="Calibri" w:hAnsi="Calibri"/>
          <w:b/>
          <w:bCs/>
          <w:color w:val="14161B"/>
          <w:sz w:val="20"/>
          <w:szCs w:val="20"/>
        </w:rPr>
        <w:t xml:space="preserve">Apply it to subsidiaries</w:t>
      </w:r>
    </w:p>
    <w:p>
      <w:pPr>
        <w:spacing w:after="60" w:line="264"/>
        <w:jc w:val="both"/>
      </w:pPr>
      <w:r>
        <w:rPr>
          <w:rFonts w:ascii="Calibri" w:cs="Calibri" w:eastAsia="Calibri" w:hAnsi="Calibri"/>
          <w:sz w:val="19"/>
          <w:szCs w:val="19"/>
        </w:rPr>
        <w:t xml:space="preserve">Clause 1.3 extends the policy to subsidiaries. Group companies transacting with each other are related parties, and a policy applied only at the parent leaves the transactions that most often attract scrutiny outside it.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definition of related party, the categories of transaction caught, the thresholds, the audit committee requirement and the applicable listing requirements all change — have the policy reviewed annually by a company secretary against the law as it then stands.</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2026-08-21T12:53:54.056Z</dcterms:created>
  <dcterms:modified xsi:type="dcterms:W3CDTF">2026-08-21T12:53:54.056Z</dcterms:modified>
</cp:coreProperties>
</file>

<file path=docProps/custom.xml><?xml version="1.0" encoding="utf-8"?>
<Properties xmlns="http://schemas.openxmlformats.org/officeDocument/2006/custom-properties" xmlns:vt="http://schemas.openxmlformats.org/officeDocument/2006/docPropsVTypes"/>
</file>