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RENT RECEIPT</w:t>
      </w:r>
    </w:p>
    <w:p>
      <w:pPr>
        <w:spacing w:after="260"/>
        <w:jc w:val="center"/>
      </w:pPr>
      <w:r>
        <w:rPr>
          <w:rFonts w:ascii="Calibri" w:cs="Calibri" w:eastAsia="Calibri" w:hAnsi="Calibri"/>
          <w:i/>
          <w:iCs/>
          <w:color w:val="6E7480"/>
          <w:sz w:val="19"/>
          <w:szCs w:val="19"/>
        </w:rPr>
        <w:t xml:space="preserve">For claiming exemption of house rent allowance</w:t>
      </w:r>
    </w:p>
    <w:p>
      <w:pPr>
        <w:spacing w:after="180" w:before="0" w:line="276"/>
        <w:jc w:val="both"/>
      </w:pPr>
      <w:r>
        <w:rPr>
          <w:rFonts w:ascii="Calibri" w:cs="Calibri" w:eastAsia="Calibri" w:hAnsi="Calibri"/>
          <w:i/>
          <w:iCs/>
          <w:color w:val="6E7480"/>
          <w:sz w:val="21"/>
          <w:szCs w:val="21"/>
        </w:rPr>
        <w:t xml:space="preserve">A receipt must record a payment that was actually made, by the person claiming, for accommodation that person occupies. Receipts produced at the end of the year for rent that was never paid are a false claim by the employee and, where the employer knows or should know, a problem for the employer as well.</w:t>
      </w:r>
    </w:p>
    <w:p>
      <w:pPr>
        <w:keepNext/>
        <w:spacing w:after="120" w:before="280"/>
        <w:outlineLvl w:val="0"/>
      </w:pPr>
      <w:r>
        <w:rPr>
          <w:rFonts w:ascii="Calibri" w:cs="Calibri" w:eastAsia="Calibri" w:hAnsi="Calibri"/>
          <w:b/>
          <w:bCs/>
          <w:color w:val="14161B"/>
          <w:sz w:val="22"/>
          <w:szCs w:val="22"/>
        </w:rPr>
        <w:t xml:space="preserve">MONTHLY RENT RECEIPT</w:t>
      </w:r>
    </w:p>
    <w:p>
      <w:pPr>
        <w:spacing w:after="140" w:before="0" w:line="276"/>
        <w:jc w:val="both"/>
      </w:pPr>
      <w:r>
        <w:rPr>
          <w:rFonts w:ascii="Calibri" w:cs="Calibri" w:eastAsia="Calibri" w:hAnsi="Calibri"/>
          <w:i/>
          <w:iCs/>
          <w:sz w:val="21"/>
          <w:szCs w:val="21"/>
        </w:rPr>
        <w:t xml:space="preserve">One receipt per month, or one per quarter where rent is paid quarterly. Print, complete and have the landlord sign each.</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Receipt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receipt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received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(Rupees </w:t>
            </w:r>
            <w:r>
              <w:rPr>
                <w:rFonts w:ascii="Calibri" w:cs="Calibri" w:eastAsia="Calibri" w:hAnsi="Calibri"/>
                <w:b/>
                <w:bCs/>
                <w:sz w:val="19"/>
                <w:szCs w:val="19"/>
              </w:rPr>
              <w:t xml:space="preserve">[IN WORDS]</w:t>
            </w:r>
            <w:r>
              <w:rPr>
                <w:rFonts w:ascii="Calibri" w:cs="Calibri" w:eastAsia="Calibri" w:hAnsi="Calibri"/>
                <w:sz w:val="19"/>
                <w:szCs w:val="19"/>
              </w:rPr>
              <w:t xml:space="preserve"> only)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Received from</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[TENANT 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Towards rent for the month of</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[MONTH]</w:t>
            </w:r>
            <w:r>
              <w:rPr>
                <w:rFonts w:ascii="Calibri" w:cs="Calibri" w:eastAsia="Calibri" w:hAnsi="Calibri"/>
                <w:b/>
                <w:bCs/>
                <w:sz w:val="19"/>
                <w:szCs w:val="19"/>
              </w:rPr>
              <w:t xml:space="preserve"> </w:t>
            </w:r>
            <w:r>
              <w:rPr>
                <w:rFonts w:ascii="Calibri" w:cs="Calibri" w:eastAsia="Calibri" w:hAnsi="Calibri"/>
                <w:b/>
                <w:bCs/>
                <w:sz w:val="19"/>
                <w:szCs w:val="19"/>
              </w:rPr>
              <w:t xml:space="preserve">[YEAR]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of the property let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ADDRESS]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Mode of payment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transfer / Cheque no. ______ dated ______ / Cash]</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 reference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[UTR OR REFERENCE]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Landlord name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[LANDLORD 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Landlord address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Landlord permanent account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Revenue stamp affixed, where required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Not required]</w:t>
            </w:r>
          </w:p>
        </w:tc>
      </w:tr>
    </w:tbl>
    <w:p>
      <w:pPr>
        <w:spacing w:after="180"/>
      </w:pPr>
    </w:p>
    <w:p>
      <w:pPr>
        <w:spacing w:after="200" w:before="0" w:line="276"/>
        <w:jc w:val="both"/>
      </w:pPr>
      <w:r>
        <w:rPr>
          <w:rFonts w:ascii="Calibri" w:cs="Calibri" w:eastAsia="Calibri" w:hAnsi="Calibri"/>
          <w:sz w:val="21"/>
          <w:szCs w:val="21"/>
        </w:rPr>
        <w:t xml:space="preserve">I acknowledge receipt of the sum stated above from </w:t>
      </w:r>
      <w:r>
        <w:rPr>
          <w:rFonts w:ascii="Calibri" w:cs="Calibri" w:eastAsia="Calibri" w:hAnsi="Calibri"/>
          <w:b/>
          <w:bCs/>
          <w:sz w:val="21"/>
          <w:szCs w:val="21"/>
        </w:rPr>
        <w:t xml:space="preserve">[TENANT NAME]</w:t>
      </w:r>
      <w:r>
        <w:rPr>
          <w:rFonts w:ascii="Calibri" w:cs="Calibri" w:eastAsia="Calibri" w:hAnsi="Calibri"/>
          <w:sz w:val="21"/>
          <w:szCs w:val="21"/>
        </w:rPr>
        <w:t xml:space="preserve"> towards rent for the property described, for the month stated.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[LANDLORD 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Affix revenue stamp where the payment is in cash and exceeds the prescribed amount.</w:t>
            </w: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ANNUAL RENT SUMMARY</w:t>
      </w:r>
    </w:p>
    <w:p>
      <w:pPr>
        <w:spacing w:after="260"/>
        <w:jc w:val="center"/>
      </w:pPr>
      <w:r>
        <w:rPr>
          <w:rFonts w:ascii="Calibri" w:cs="Calibri" w:eastAsia="Calibri" w:hAnsi="Calibri"/>
          <w:i/>
          <w:iCs/>
          <w:color w:val="6E7480"/>
          <w:sz w:val="19"/>
          <w:szCs w:val="19"/>
        </w:rPr>
        <w:t xml:space="preserve">To be submitted with the declaration of deductions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name and identification number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[ID]</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w:t>
            </w:r>
            <w:r>
              <w:rPr>
                <w:rFonts w:ascii="Calibri" w:cs="Calibri" w:eastAsia="Calibri" w:hAnsi="Calibri"/>
                <w:b/>
                <w:bCs/>
                <w:sz w:val="19"/>
                <w:szCs w:val="19"/>
              </w:rPr>
              <w:t xml:space="preserve">–</w:t>
            </w:r>
            <w:r>
              <w:rPr>
                <w:rFonts w:ascii="Calibri" w:cs="Calibri" w:eastAsia="Calibri" w:hAnsi="Calibri"/>
                <w:b/>
                <w:bCs/>
                <w:sz w:val="19"/>
                <w:szCs w:val="19"/>
              </w:rPr>
              <w:t xml:space="preserve">[YEAR]</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of the rented accommodation</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ADDRESS]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City, and whether the higher exemption limit applies to it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[CITY]</w:t>
            </w:r>
            <w:r>
              <w:rPr>
                <w:rFonts w:ascii="Calibri" w:cs="Calibri" w:eastAsia="Calibri" w:hAnsi="Calibri"/>
                <w:sz w:val="19"/>
                <w:szCs w:val="19"/>
              </w:rPr>
              <w:t xml:space="preserve"> — </w:t>
            </w:r>
            <w:r>
              <w:rPr>
                <w:rFonts w:ascii="Calibri" w:cs="Calibri" w:eastAsia="Calibri" w:hAnsi="Calibri"/>
                <w:b/>
                <w:bCs/>
                <w:sz w:val="19"/>
                <w:szCs w:val="19"/>
              </w:rPr>
              <w:t xml:space="preserve">[Yes / No]</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Period of tenancy during the year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[FROM]</w:t>
            </w:r>
            <w:r>
              <w:rPr>
                <w:rFonts w:ascii="Calibri" w:cs="Calibri" w:eastAsia="Calibri" w:hAnsi="Calibri"/>
                <w:sz w:val="19"/>
                <w:szCs w:val="19"/>
              </w:rPr>
              <w:t xml:space="preserve"> to </w:t>
            </w:r>
            <w:r>
              <w:rPr>
                <w:rFonts w:ascii="Calibri" w:cs="Calibri" w:eastAsia="Calibri" w:hAnsi="Calibri"/>
                <w:b/>
                <w:bCs/>
                <w:sz w:val="19"/>
                <w:szCs w:val="19"/>
              </w:rPr>
              <w:t xml:space="preserve">[TO]</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Monthly rent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Landlord name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Landlord permanent account number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Relationship of the landlord to the employee, if any</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[None / Specify — see the notes]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Rent agreement dated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for the period </w:t>
            </w:r>
            <w:r>
              <w:rPr>
                <w:rFonts w:ascii="Calibri" w:cs="Calibri" w:eastAsia="Calibri" w:hAnsi="Calibri"/>
                <w:b/>
                <w:bCs/>
                <w:sz w:val="19"/>
                <w:szCs w:val="19"/>
              </w:rPr>
              <w:t xml:space="preserve">[FROM]</w:t>
            </w:r>
            <w:r>
              <w:rPr>
                <w:rFonts w:ascii="Calibri" w:cs="Calibri" w:eastAsia="Calibri" w:hAnsi="Calibri"/>
                <w:sz w:val="19"/>
                <w:szCs w:val="19"/>
              </w:rPr>
              <w:t xml:space="preserve"> to </w:t>
            </w:r>
            <w:r>
              <w:rPr>
                <w:rFonts w:ascii="Calibri" w:cs="Calibri" w:eastAsia="Calibri" w:hAnsi="Calibri"/>
                <w:b/>
                <w:bCs/>
                <w:sz w:val="19"/>
                <w:szCs w:val="19"/>
              </w:rPr>
              <w:t xml:space="preserve">[TO]</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tax is required to be deducted by the employee on the rent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bl>
    <w:p>
      <w:pPr>
        <w:spacing w:after="16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542"/>
        <w:gridCol w:w="1734"/>
        <w:gridCol w:w="1445"/>
        <w:gridCol w:w="1542"/>
        <w:gridCol w:w="1927"/>
        <w:gridCol w:w="1448"/>
      </w:tblGrid>
      <w:tr>
        <w:trPr>
          <w:tblHeader/>
        </w:trPr>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Month</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Rent paid (₹)</w:t>
            </w:r>
          </w:p>
        </w:tc>
        <w:tc>
          <w:tcPr>
            <w:tcW w:type="dxa" w:w="1445"/>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 paid</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Reference</w:t>
            </w:r>
          </w:p>
        </w:tc>
        <w:tc>
          <w:tcPr>
            <w:tcW w:type="dxa" w:w="1448"/>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Receipt 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April</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June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July</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August</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September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October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November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December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January</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February</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March</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448"/>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[NO.]</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445"/>
            <w:tcMar>
              <w:top w:type="dxa" w:w="70"/>
              <w:left w:type="dxa" w:w="100"/>
              <w:bottom w:type="dxa" w:w="70"/>
              <w:right w:type="dxa" w:w="100"/>
            </w:tcMar>
            <w:vAlign w:val="center"/>
          </w:tcPr>
          <w:p>
            <w:pPr>
              <w:spacing w:after="0" w:line="240"/>
              <w:jc w:val="center"/>
            </w:pPr>
          </w:p>
        </w:tc>
        <w:tc>
          <w:tcPr>
            <w:tcW w:type="dxa" w:w="1542"/>
            <w:tcMar>
              <w:top w:type="dxa" w:w="70"/>
              <w:left w:type="dxa" w:w="100"/>
              <w:bottom w:type="dxa" w:w="70"/>
              <w:right w:type="dxa" w:w="100"/>
            </w:tcMar>
            <w:vAlign w:val="center"/>
          </w:tcPr>
          <w:p>
            <w:pPr>
              <w:spacing w:after="0" w:line="240"/>
              <w:jc w:val="left"/>
            </w:pPr>
          </w:p>
        </w:tc>
        <w:tc>
          <w:tcPr>
            <w:tcW w:type="dxa" w:w="1927"/>
            <w:tcMar>
              <w:top w:type="dxa" w:w="70"/>
              <w:left w:type="dxa" w:w="100"/>
              <w:bottom w:type="dxa" w:w="70"/>
              <w:right w:type="dxa" w:w="100"/>
            </w:tcMar>
            <w:vAlign w:val="center"/>
          </w:tcPr>
          <w:p>
            <w:pPr>
              <w:spacing w:after="0" w:line="240"/>
              <w:jc w:val="left"/>
            </w:pPr>
          </w:p>
        </w:tc>
        <w:tc>
          <w:tcPr>
            <w:tcW w:type="dxa" w:w="1448"/>
            <w:tcMar>
              <w:top w:type="dxa" w:w="70"/>
              <w:left w:type="dxa" w:w="100"/>
              <w:bottom w:type="dxa" w:w="70"/>
              <w:right w:type="dxa" w:w="100"/>
            </w:tcMar>
            <w:vAlign w:val="center"/>
          </w:tcPr>
          <w:p>
            <w:pPr>
              <w:spacing w:after="0" w:line="240"/>
              <w:jc w:val="center"/>
            </w:pPr>
          </w:p>
        </w:tc>
      </w:tr>
    </w:tbl>
    <w:p>
      <w:pPr>
        <w:spacing w:after="160"/>
      </w:pPr>
    </w:p>
    <w:p>
      <w:pPr>
        <w:keepNext/>
        <w:spacing w:after="120" w:before="280"/>
        <w:outlineLvl w:val="0"/>
      </w:pPr>
      <w:r>
        <w:rPr>
          <w:rFonts w:ascii="Calibri" w:cs="Calibri" w:eastAsia="Calibri" w:hAnsi="Calibri"/>
          <w:b/>
          <w:bCs/>
          <w:color w:val="14161B"/>
          <w:sz w:val="22"/>
          <w:szCs w:val="22"/>
        </w:rPr>
        <w:t xml:space="preserve">DECLARATION BY THE EMPLOYEE</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I declare that I have actually paid the rent stated above for residential accommodation occupied by me, and that I do not own the property.</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I declare that I am not claiming, and will not claim, exemption in respect of the same accommodation from any other employer for the same period.</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I understand that the exemption is limited to the least of the amounts computed under the applicable provision, and that the amount claimed is not necessarily the amount allowed.</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I undertake to inform the Company promptly if I vacate the accommodation or if the rent changes.</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The receipts and the rent agreement furnished are genuine and relate to payments actually made.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160"/>
      </w:pPr>
    </w:p>
    <w:p>
      <w:pPr>
        <w:keepNext/>
        <w:spacing w:after="120" w:before="280"/>
        <w:outlineLvl w:val="0"/>
      </w:pPr>
      <w:r>
        <w:rPr>
          <w:rFonts w:ascii="Calibri" w:cs="Calibri" w:eastAsia="Calibri" w:hAnsi="Calibri"/>
          <w:b/>
          <w:bCs/>
          <w:color w:val="14161B"/>
          <w:sz w:val="22"/>
          <w:szCs w:val="22"/>
        </w:rPr>
        <w:t xml:space="preserve">EXEMPTION COMPUTATION</w:t>
      </w:r>
    </w:p>
    <w:p>
      <w:pPr>
        <w:spacing w:after="120" w:before="0" w:line="276"/>
        <w:jc w:val="both"/>
      </w:pPr>
      <w:r>
        <w:rPr>
          <w:rFonts w:ascii="Calibri" w:cs="Calibri" w:eastAsia="Calibri" w:hAnsi="Calibri"/>
          <w:i/>
          <w:iCs/>
          <w:sz w:val="21"/>
          <w:szCs w:val="21"/>
        </w:rPr>
        <w:t xml:space="preserve">For the employer’s working. The exemption is the least of the three amounts below.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6361"/>
        <w:gridCol w:w="2699"/>
      </w:tblGrid>
      <w:tr>
        <w:trPr>
          <w:tblHeader/>
        </w:trPr>
        <w:tc>
          <w:tcPr>
            <w:tcW w:type="dxa" w:w="578"/>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w:t>
            </w:r>
          </w:p>
        </w:tc>
        <w:tc>
          <w:tcPr>
            <w:tcW w:type="dxa" w:w="636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Basis</w:t>
            </w:r>
          </w:p>
        </w:tc>
        <w:tc>
          <w:tcPr>
            <w:tcW w:type="dxa" w:w="269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House rent allowance actually received for the period</w:t>
            </w:r>
          </w:p>
        </w:tc>
        <w:tc>
          <w:tcPr>
            <w:tcW w:type="dxa" w:w="269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Rent paid in excess of </w:t>
            </w:r>
            <w:r>
              <w:rPr>
                <w:rFonts w:ascii="Calibri" w:cs="Calibri" w:eastAsia="Calibri" w:hAnsi="Calibri"/>
                <w:b/>
                <w:bCs/>
                <w:sz w:val="19"/>
                <w:szCs w:val="19"/>
              </w:rPr>
              <w:t xml:space="preserve">[10]</w:t>
            </w:r>
            <w:r>
              <w:rPr>
                <w:rFonts w:ascii="Calibri" w:cs="Calibri" w:eastAsia="Calibri" w:hAnsi="Calibri"/>
                <w:sz w:val="19"/>
                <w:szCs w:val="19"/>
              </w:rPr>
              <w:t xml:space="preserve"> per cent of salary for the period</w:t>
            </w:r>
          </w:p>
        </w:tc>
        <w:tc>
          <w:tcPr>
            <w:tcW w:type="dxa" w:w="269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[50]</w:t>
            </w:r>
            <w:r>
              <w:rPr>
                <w:rFonts w:ascii="Calibri" w:cs="Calibri" w:eastAsia="Calibri" w:hAnsi="Calibri"/>
                <w:sz w:val="19"/>
                <w:szCs w:val="19"/>
              </w:rPr>
              <w:t xml:space="preserve"> per cent of salary where the accommodation is in a city to which the higher limit applies, otherwise </w:t>
            </w:r>
            <w:r>
              <w:rPr>
                <w:rFonts w:ascii="Calibri" w:cs="Calibri" w:eastAsia="Calibri" w:hAnsi="Calibri"/>
                <w:b/>
                <w:bCs/>
                <w:sz w:val="19"/>
                <w:szCs w:val="19"/>
              </w:rPr>
              <w:t xml:space="preserve">[40]</w:t>
            </w:r>
            <w:r>
              <w:rPr>
                <w:rFonts w:ascii="Calibri" w:cs="Calibri" w:eastAsia="Calibri" w:hAnsi="Calibri"/>
                <w:sz w:val="19"/>
                <w:szCs w:val="19"/>
              </w:rPr>
              <w:t xml:space="preserve"> per cent</w:t>
            </w:r>
          </w:p>
        </w:tc>
        <w:tc>
          <w:tcPr>
            <w:tcW w:type="dxa" w:w="269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78"/>
            <w:tcMar>
              <w:top w:type="dxa" w:w="70"/>
              <w:left w:type="dxa" w:w="100"/>
              <w:bottom w:type="dxa" w:w="70"/>
              <w:right w:type="dxa" w:w="100"/>
            </w:tcMar>
            <w:vAlign w:val="center"/>
          </w:tcPr>
          <w:p>
            <w:pPr>
              <w:spacing w:after="0" w:line="240"/>
              <w:jc w:val="center"/>
            </w:pP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Exemption allowed — the least of the above</w:t>
            </w:r>
          </w:p>
        </w:tc>
        <w:tc>
          <w:tcPr>
            <w:tcW w:type="dxa" w:w="269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78"/>
            <w:tcMar>
              <w:top w:type="dxa" w:w="70"/>
              <w:left w:type="dxa" w:w="100"/>
              <w:bottom w:type="dxa" w:w="70"/>
              <w:right w:type="dxa" w:w="100"/>
            </w:tcMar>
            <w:vAlign w:val="center"/>
          </w:tcPr>
          <w:p>
            <w:pPr>
              <w:spacing w:after="0" w:line="240"/>
              <w:jc w:val="center"/>
            </w:pP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House rent allowance taxable</w:t>
            </w:r>
          </w:p>
        </w:tc>
        <w:tc>
          <w:tcPr>
            <w:tcW w:type="dxa" w:w="269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78"/>
            <w:tcMar>
              <w:top w:type="dxa" w:w="70"/>
              <w:left w:type="dxa" w:w="100"/>
              <w:bottom w:type="dxa" w:w="70"/>
              <w:right w:type="dxa" w:w="100"/>
            </w:tcMar>
            <w:vAlign w:val="center"/>
          </w:tcPr>
          <w:p>
            <w:pPr>
              <w:spacing w:after="0" w:line="240"/>
              <w:jc w:val="center"/>
            </w:pP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Salary taken for this computation, as defined for the purpose</w:t>
            </w:r>
          </w:p>
        </w:tc>
        <w:tc>
          <w:tcPr>
            <w:tcW w:type="dxa" w:w="269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rent must actually have been paid</w:t>
      </w:r>
    </w:p>
    <w:p>
      <w:pPr>
        <w:spacing w:after="60" w:line="264"/>
        <w:jc w:val="both"/>
      </w:pPr>
      <w:r>
        <w:rPr>
          <w:rFonts w:ascii="Calibri" w:cs="Calibri" w:eastAsia="Calibri" w:hAnsi="Calibri"/>
          <w:sz w:val="19"/>
          <w:szCs w:val="19"/>
        </w:rPr>
        <w:t xml:space="preserve">This is the point on which the whole claim rests. A receipt is evidence of a payment, not a substitute for one. Receipts produced in the final quarter for twelve months of rent that was never paid, or paid to a relative who never received it, are a false claim by the employee, and an employer that accepts obviously manufactured receipts is not in a good position either. Ask for the bank reference; that is what distinguishes a real payment from a constructed one.</w:t>
      </w:r>
    </w:p>
    <w:p>
      <w:pPr>
        <w:keepNext/>
        <w:spacing w:after="40" w:before="140"/>
      </w:pPr>
      <w:r>
        <w:rPr>
          <w:rFonts w:ascii="Calibri" w:cs="Calibri" w:eastAsia="Calibri" w:hAnsi="Calibri"/>
          <w:b/>
          <w:bCs/>
          <w:color w:val="14161B"/>
          <w:sz w:val="20"/>
          <w:szCs w:val="20"/>
        </w:rPr>
        <w:t xml:space="preserve">Landlord PAN above the threshold</w:t>
      </w:r>
    </w:p>
    <w:p>
      <w:pPr>
        <w:spacing w:after="60" w:line="264"/>
        <w:jc w:val="both"/>
      </w:pPr>
      <w:r>
        <w:rPr>
          <w:rFonts w:ascii="Calibri" w:cs="Calibri" w:eastAsia="Calibri" w:hAnsi="Calibri"/>
          <w:sz w:val="19"/>
          <w:szCs w:val="19"/>
        </w:rPr>
        <w:t xml:space="preserve">Where the aggregate rent for the year exceeds the prescribed threshold, the landlord’s permanent account number must be furnished, and the claim is disallowed without it. Employees discover this in the final quarter, when the landlord is often unreachable or unwilling. Flag it at the start of the year so there is time to obtain it or to plan around it.</w:t>
      </w:r>
    </w:p>
    <w:p>
      <w:pPr>
        <w:keepNext/>
        <w:spacing w:after="40" w:before="140"/>
      </w:pPr>
      <w:r>
        <w:rPr>
          <w:rFonts w:ascii="Calibri" w:cs="Calibri" w:eastAsia="Calibri" w:hAnsi="Calibri"/>
          <w:b/>
          <w:bCs/>
          <w:color w:val="14161B"/>
          <w:sz w:val="20"/>
          <w:szCs w:val="20"/>
        </w:rPr>
        <w:t xml:space="preserve">Paying rent to a relative is not automatically disallowed</w:t>
      </w:r>
    </w:p>
    <w:p>
      <w:pPr>
        <w:spacing w:after="60" w:line="264"/>
        <w:jc w:val="both"/>
      </w:pPr>
      <w:r>
        <w:rPr>
          <w:rFonts w:ascii="Calibri" w:cs="Calibri" w:eastAsia="Calibri" w:hAnsi="Calibri"/>
          <w:sz w:val="19"/>
          <w:szCs w:val="19"/>
        </w:rPr>
        <w:t xml:space="preserve">Rent paid to a parent or another relative can be a valid claim, but only where the arrangement is genuine: the relative must actually own the property, the rent must actually be paid, and the relative must declare it as income. Where those elements are missing, the claim fails and looks contrived. The annual summary asks for the relationship expressly so it can be considered rather than concealed.</w:t>
      </w:r>
    </w:p>
    <w:p>
      <w:pPr>
        <w:keepNext/>
        <w:spacing w:after="40" w:before="140"/>
      </w:pPr>
      <w:r>
        <w:rPr>
          <w:rFonts w:ascii="Calibri" w:cs="Calibri" w:eastAsia="Calibri" w:hAnsi="Calibri"/>
          <w:b/>
          <w:bCs/>
          <w:color w:val="14161B"/>
          <w:sz w:val="20"/>
          <w:szCs w:val="20"/>
        </w:rPr>
        <w:t xml:space="preserve">You cannot claim rent for a property you own</w:t>
      </w:r>
    </w:p>
    <w:p>
      <w:pPr>
        <w:spacing w:after="60" w:line="264"/>
        <w:jc w:val="both"/>
      </w:pPr>
      <w:r>
        <w:rPr>
          <w:rFonts w:ascii="Calibri" w:cs="Calibri" w:eastAsia="Calibri" w:hAnsi="Calibri"/>
          <w:sz w:val="19"/>
          <w:szCs w:val="19"/>
        </w:rPr>
        <w:t xml:space="preserve">Exemption is available only for accommodation occupied by the employee which the employee does not own. Employees who own the property they live in, or who pay notional rent to a spouse who is a co-owner, are not eligible. The declaration says so plainly.</w:t>
      </w:r>
    </w:p>
    <w:p>
      <w:pPr>
        <w:keepNext/>
        <w:spacing w:after="40" w:before="140"/>
      </w:pPr>
      <w:r>
        <w:rPr>
          <w:rFonts w:ascii="Calibri" w:cs="Calibri" w:eastAsia="Calibri" w:hAnsi="Calibri"/>
          <w:b/>
          <w:bCs/>
          <w:color w:val="14161B"/>
          <w:sz w:val="20"/>
          <w:szCs w:val="20"/>
        </w:rPr>
        <w:t xml:space="preserve">The employee may have a withholding obligation of their own</w:t>
      </w:r>
    </w:p>
    <w:p>
      <w:pPr>
        <w:spacing w:after="60" w:line="264"/>
        <w:jc w:val="both"/>
      </w:pPr>
      <w:r>
        <w:rPr>
          <w:rFonts w:ascii="Calibri" w:cs="Calibri" w:eastAsia="Calibri" w:hAnsi="Calibri"/>
          <w:sz w:val="19"/>
          <w:szCs w:val="19"/>
        </w:rPr>
        <w:t xml:space="preserve">Where an individual pays rent above the prescribed monthly threshold, an obligation to deduct tax on the rent may fall on the tenant personally. This is the employee’s obligation, not the employer’s, and failure attracts interest and penalty. The annual summary raises it so the employee is not caught unaware at filing.</w:t>
      </w:r>
    </w:p>
    <w:p>
      <w:pPr>
        <w:keepNext/>
        <w:spacing w:after="40" w:before="140"/>
      </w:pPr>
      <w:r>
        <w:rPr>
          <w:rFonts w:ascii="Calibri" w:cs="Calibri" w:eastAsia="Calibri" w:hAnsi="Calibri"/>
          <w:b/>
          <w:bCs/>
          <w:color w:val="14161B"/>
          <w:sz w:val="20"/>
          <w:szCs w:val="20"/>
        </w:rPr>
        <w:t xml:space="preserve">Not available under the new regime</w:t>
      </w:r>
    </w:p>
    <w:p>
      <w:pPr>
        <w:spacing w:after="60" w:line="264"/>
        <w:jc w:val="both"/>
      </w:pPr>
      <w:r>
        <w:rPr>
          <w:rFonts w:ascii="Calibri" w:cs="Calibri" w:eastAsia="Calibri" w:hAnsi="Calibri"/>
          <w:sz w:val="19"/>
          <w:szCs w:val="19"/>
        </w:rPr>
        <w:t xml:space="preserve">The exemption for house rent allowance is not available under the new tax regime. Where an employee has elected the new regime, this claim does not apply, and collecting receipts is unnecessary. Confirm the regime election before requesting evidence.</w:t>
      </w:r>
    </w:p>
    <w:p>
      <w:pPr>
        <w:keepNext/>
        <w:spacing w:after="40" w:before="140"/>
      </w:pPr>
      <w:r>
        <w:rPr>
          <w:rFonts w:ascii="Calibri" w:cs="Calibri" w:eastAsia="Calibri" w:hAnsi="Calibri"/>
          <w:b/>
          <w:bCs/>
          <w:color w:val="14161B"/>
          <w:sz w:val="20"/>
          <w:szCs w:val="20"/>
        </w:rPr>
        <w:t xml:space="preserve">The exemption is the least of three amounts</w:t>
      </w:r>
    </w:p>
    <w:p>
      <w:pPr>
        <w:spacing w:after="60" w:line="264"/>
        <w:jc w:val="both"/>
      </w:pPr>
      <w:r>
        <w:rPr>
          <w:rFonts w:ascii="Calibri" w:cs="Calibri" w:eastAsia="Calibri" w:hAnsi="Calibri"/>
          <w:sz w:val="19"/>
          <w:szCs w:val="19"/>
        </w:rPr>
        <w:t xml:space="preserve">Employees frequently assume the whole of the rent paid, or the whole allowance received, is exempt. It is the least of the allowance received, the rent paid in excess of ten per cent of salary, and forty or fifty per cent of salary depending on the city. The computation table shows the working; sharing it with the employee prevents the annual round of queries.</w:t>
      </w:r>
    </w:p>
    <w:p>
      <w:pPr>
        <w:keepNext/>
        <w:spacing w:after="40" w:before="140"/>
      </w:pPr>
      <w:r>
        <w:rPr>
          <w:rFonts w:ascii="Calibri" w:cs="Calibri" w:eastAsia="Calibri" w:hAnsi="Calibri"/>
          <w:b/>
          <w:bCs/>
          <w:color w:val="14161B"/>
          <w:sz w:val="20"/>
          <w:szCs w:val="20"/>
        </w:rPr>
        <w:t xml:space="preserve">Salary for this computation is defined</w:t>
      </w:r>
    </w:p>
    <w:p>
      <w:pPr>
        <w:spacing w:after="60" w:line="264"/>
        <w:jc w:val="both"/>
      </w:pPr>
      <w:r>
        <w:rPr>
          <w:rFonts w:ascii="Calibri" w:cs="Calibri" w:eastAsia="Calibri" w:hAnsi="Calibri"/>
          <w:sz w:val="19"/>
          <w:szCs w:val="19"/>
        </w:rPr>
        <w:t xml:space="preserve">The salary figure used in the computation has a specific meaning for this purpose and is not the same as gross salary or cost to company. Using the wrong base is a common payroll error that either over-exempts or under-exempts. Confirm the definition being applied in the payroll system.</w:t>
      </w:r>
    </w:p>
    <w:p>
      <w:pPr>
        <w:keepNext/>
        <w:spacing w:after="40" w:before="140"/>
      </w:pPr>
      <w:r>
        <w:rPr>
          <w:rFonts w:ascii="Calibri" w:cs="Calibri" w:eastAsia="Calibri" w:hAnsi="Calibri"/>
          <w:b/>
          <w:bCs/>
          <w:color w:val="14161B"/>
          <w:sz w:val="20"/>
          <w:szCs w:val="20"/>
        </w:rPr>
        <w:t xml:space="preserve">Revenue stamp on cash receipts</w:t>
      </w:r>
    </w:p>
    <w:p>
      <w:pPr>
        <w:spacing w:after="60" w:line="264"/>
        <w:jc w:val="both"/>
      </w:pPr>
      <w:r>
        <w:rPr>
          <w:rFonts w:ascii="Calibri" w:cs="Calibri" w:eastAsia="Calibri" w:hAnsi="Calibri"/>
          <w:sz w:val="19"/>
          <w:szCs w:val="19"/>
        </w:rPr>
        <w:t xml:space="preserve">Where rent is paid in cash and the amount exceeds the prescribed threshold, a revenue stamp is affixed to the receipt. Where payment is by bank transfer, the transfer reference is better evidence than the stamp. Encourage bank payment; it removes several problems at once.</w:t>
      </w:r>
    </w:p>
    <w:p>
      <w:pPr>
        <w:keepNext/>
        <w:spacing w:after="40" w:before="140"/>
      </w:pPr>
      <w:r>
        <w:rPr>
          <w:rFonts w:ascii="Calibri" w:cs="Calibri" w:eastAsia="Calibri" w:hAnsi="Calibri"/>
          <w:b/>
          <w:bCs/>
          <w:color w:val="14161B"/>
          <w:sz w:val="20"/>
          <w:szCs w:val="20"/>
        </w:rPr>
        <w:t xml:space="preserve">Part-year tenancies and changes of address</w:t>
      </w:r>
    </w:p>
    <w:p>
      <w:pPr>
        <w:spacing w:after="60" w:line="264"/>
        <w:jc w:val="both"/>
      </w:pPr>
      <w:r>
        <w:rPr>
          <w:rFonts w:ascii="Calibri" w:cs="Calibri" w:eastAsia="Calibri" w:hAnsi="Calibri"/>
          <w:sz w:val="19"/>
          <w:szCs w:val="19"/>
        </w:rPr>
        <w:t xml:space="preserve">Where the employee changes accommodation during the year, complete a separate annual summary for each period and compute the exemption period by period, since the city and the rent may both change. A single annual figure covering two different tenancies produces an incorrect exemption.</w:t>
      </w:r>
    </w:p>
    <w:p>
      <w:pPr>
        <w:keepNext/>
        <w:spacing w:after="40" w:before="140"/>
      </w:pPr>
      <w:r>
        <w:rPr>
          <w:rFonts w:ascii="Calibri" w:cs="Calibri" w:eastAsia="Calibri" w:hAnsi="Calibri"/>
          <w:b/>
          <w:bCs/>
          <w:color w:val="14161B"/>
          <w:sz w:val="20"/>
          <w:szCs w:val="20"/>
        </w:rPr>
        <w:t xml:space="preserve">Retain the evidence</w:t>
      </w:r>
    </w:p>
    <w:p>
      <w:pPr>
        <w:spacing w:after="60" w:line="264"/>
        <w:jc w:val="both"/>
      </w:pPr>
      <w:r>
        <w:rPr>
          <w:rFonts w:ascii="Calibri" w:cs="Calibri" w:eastAsia="Calibri" w:hAnsi="Calibri"/>
          <w:sz w:val="19"/>
          <w:szCs w:val="19"/>
        </w:rPr>
        <w:t xml:space="preserve">The receipts, the rent agreement and the annual summary should be retained with the employee’s declaration for the prescribed retention period. Where the deduction is later questioned, this is the file that answers it.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tax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threshold for furnishing the landlord’s permanent account number, the percentages used in the computation, the cities to which the higher limit applies, the availability of the exemption under each regime, and the tenant’s own withholding threshold all change — confirm with a tax adviser before each financial year.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2026-08-21T12:53:55.450Z</dcterms:created>
  <dcterms:modified xsi:type="dcterms:W3CDTF">2026-08-21T12:53:55.450Z</dcterms:modified>
</cp:coreProperties>
</file>

<file path=docProps/custom.xml><?xml version="1.0" encoding="utf-8"?>
<Properties xmlns="http://schemas.openxmlformats.org/officeDocument/2006/custom-properties" xmlns:vt="http://schemas.openxmlformats.org/officeDocument/2006/docPropsVTypes"/>
</file>