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POLICY ON PREVENTION OF SEXUAL HARASSMENT AT THE WORKPLACE</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This policy is required by legislation that stands apart from the consolidated labour codes and continues to apply in its own terms. Where an establishment employs ten or more persons, constituting an Internal Committee is mandatory, and a committee that exists on paper but has never met, never been trained and has no external member does not satisfy the requirement.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6940"/>
      </w:tblGrid>
      <w:tr>
        <w:trPr>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9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by</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Board of Directors on </w:t>
            </w:r>
            <w:r>
              <w:rPr>
                <w:rFonts w:ascii="Calibri" w:cs="Calibri" w:eastAsia="Calibri" w:hAnsi="Calibri"/>
                <w:b/>
                <w:bCs/>
                <w:sz w:val="19"/>
                <w:szCs w:val="19"/>
              </w:rPr>
              <w:t xml:space="preserve">[DATE]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Effective from</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Version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Policy owner</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Applies to</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All workplaces of the Company, and all persons described in Clause 2</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Annually, and on any change in law</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Displayed at</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[LOCATIONS]</w:t>
            </w:r>
            <w:r>
              <w:rPr>
                <w:rFonts w:ascii="Calibri" w:cs="Calibri" w:eastAsia="Calibri" w:hAnsi="Calibri"/>
                <w:sz w:val="19"/>
                <w:szCs w:val="19"/>
              </w:rPr>
              <w:t xml:space="preserve">, and available at </w:t>
            </w:r>
            <w:r>
              <w:rPr>
                <w:rFonts w:ascii="Calibri" w:cs="Calibri" w:eastAsia="Calibri" w:hAnsi="Calibri"/>
                <w:b/>
                <w:bCs/>
                <w:sz w:val="19"/>
                <w:szCs w:val="19"/>
              </w:rPr>
              <w:t xml:space="preserve">[LINK]</w:t>
            </w:r>
          </w:p>
        </w:tc>
      </w:tr>
    </w:tbl>
    <w:p>
      <w:pPr>
        <w:spacing w:after="180"/>
      </w:pPr>
    </w:p>
    <w:p>
      <w:pPr>
        <w:keepNext/>
        <w:spacing w:after="120" w:before="280"/>
        <w:outlineLvl w:val="0"/>
      </w:pPr>
      <w:r>
        <w:rPr>
          <w:rFonts w:ascii="Calibri" w:cs="Calibri" w:eastAsia="Calibri" w:hAnsi="Calibri"/>
          <w:b/>
          <w:bCs/>
          <w:color w:val="14161B"/>
          <w:sz w:val="22"/>
          <w:szCs w:val="22"/>
        </w:rPr>
        <w:t xml:space="preserve">1. STATEMENT OF COMMITMENT</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Company is committed to providing a workplace free from sexual harassment, in which every person is treated with dignity and respect. Sexual harassment is a serious form of misconduct. It will not be tolerated, whoever the person responsible and whatever that person’s seniority.</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Company will take all reasonable steps to prevent sexual harassment, will provide a mechanism for complaints to be made and inquired into fairly and confidentially, will take action where a complaint is upheld, and will protect any person who makes a complaint or assists an inquiry from retaliation.</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Nothing in this policy limits any right a person has to pursue a remedy in law, including making a complaint to the police.</w:t>
      </w:r>
    </w:p>
    <w:p>
      <w:pPr>
        <w:keepNext/>
        <w:spacing w:after="120" w:before="280"/>
        <w:outlineLvl w:val="0"/>
      </w:pPr>
      <w:r>
        <w:rPr>
          <w:rFonts w:ascii="Calibri" w:cs="Calibri" w:eastAsia="Calibri" w:hAnsi="Calibri"/>
          <w:b/>
          <w:bCs/>
          <w:color w:val="14161B"/>
          <w:sz w:val="22"/>
          <w:szCs w:val="22"/>
        </w:rPr>
        <w:t xml:space="preserve">2. SCOPE</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This policy applies to every workplace of the Company, which includes its offices, any premises visited by an employee in the course of employment, transport provided by the Company, and any place where work is carried on, including a residence or other location where an employee works remotely.</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This policy protects </w:t>
      </w:r>
      <w:r>
        <w:rPr>
          <w:rFonts w:ascii="Calibri" w:cs="Calibri" w:eastAsia="Calibri" w:hAnsi="Calibri"/>
          <w:b/>
          <w:bCs/>
          <w:sz w:val="21"/>
          <w:szCs w:val="21"/>
        </w:rPr>
        <w:t xml:space="preserve">every woman</w:t>
      </w:r>
      <w:r>
        <w:rPr>
          <w:rFonts w:ascii="Calibri" w:cs="Calibri" w:eastAsia="Calibri" w:hAnsi="Calibri"/>
          <w:sz w:val="21"/>
          <w:szCs w:val="21"/>
        </w:rPr>
        <w:t xml:space="preserve"> at the workplace, whether or not employed by the Company, including permanent, temporary, contractual, probationary and fixed-term employees, apprentices, trainees, interns, employees of contractors, consultants, volunteers, employees on secondment, and visitors and clients present at the workplace.</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This policy applies to conduct by any person at the workplace, including employees at every level, contractors and their personnel, consultants, clients, customers, suppliers, visitors and any third party.</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This policy also applies to conduct occurring outside the physical workplace, including at work-related travel, offsites, client meetings, business meals, and on electronic communication channels used for work, where the conduct arises out of or in the course of employment.</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The Company does not tolerate harassment of any person on any ground. Where a complaint is made by a person to whom the legislation does not extend, or concerns conduct not amounting to sexual harassment, it will be dealt with under the Company’s code of conduct and disciplinary procedure with equivalent seriousness, and the person will be told which process is being applied and why.</w:t>
      </w:r>
    </w:p>
    <w:p>
      <w:pPr>
        <w:keepNext/>
        <w:spacing w:after="120" w:before="280"/>
        <w:outlineLvl w:val="0"/>
      </w:pPr>
      <w:r>
        <w:rPr>
          <w:rFonts w:ascii="Calibri" w:cs="Calibri" w:eastAsia="Calibri" w:hAnsi="Calibri"/>
          <w:b/>
          <w:bCs/>
          <w:color w:val="14161B"/>
          <w:sz w:val="22"/>
          <w:szCs w:val="22"/>
        </w:rPr>
        <w:t xml:space="preserve">3. WHAT SEXUAL HARASSMENT MEANS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Sexual harassment includes any one or more of the following unwelcome acts or behaviour, whether directly or by implication:</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physical contact and advances;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a demand or request for sexual favours;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making sexually coloured remarks;</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showing pornography;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any other unwelcome physical, verbal or non-verbal conduct of a sexual nature.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following circumstances, among others, if they occur or are present in relation to or connected with any act or behaviour of sexual harassment, may amount to sexual harassment: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an implied or explicit promise of preferential treatment in employment;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an implied or explicit threat of detrimental treatment in employment;</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an implied or explicit threat about present or future employment status;</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interference with work, or creating an intimidating, offensive or hostile work environment;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humiliating treatment likely to affect health or safety.</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Conduct is judged by whether it was </w:t>
      </w:r>
      <w:r>
        <w:rPr>
          <w:rFonts w:ascii="Calibri" w:cs="Calibri" w:eastAsia="Calibri" w:hAnsi="Calibri"/>
          <w:b/>
          <w:bCs/>
          <w:sz w:val="21"/>
          <w:szCs w:val="21"/>
        </w:rPr>
        <w:t xml:space="preserve">unwelcome</w:t>
      </w:r>
      <w:r>
        <w:rPr>
          <w:rFonts w:ascii="Calibri" w:cs="Calibri" w:eastAsia="Calibri" w:hAnsi="Calibri"/>
          <w:sz w:val="21"/>
          <w:szCs w:val="21"/>
        </w:rPr>
        <w:t xml:space="preserve"> to the person experiencing it, not by whether the person responsible intended offence. An explanation that a remark was a joke, or that no offence was meant, does not answer a complaint.</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Examples, which are illustrative and not exhaustive, include unwanted touching; persistent requests for a date after refusal; comments on a person’s body, appearance or private life; circulating sexual images or messages, including through messaging applications; staring or gestures of a sexual nature; asking intrusive questions about a person’s sexual life; and making a person’s appraisal, assignment or promotion conditional on a personal relationship.</w:t>
      </w:r>
    </w:p>
    <w:p>
      <w:pPr>
        <w:keepNext/>
        <w:spacing w:after="120" w:before="280"/>
        <w:outlineLvl w:val="0"/>
      </w:pPr>
      <w:r>
        <w:rPr>
          <w:rFonts w:ascii="Calibri" w:cs="Calibri" w:eastAsia="Calibri" w:hAnsi="Calibri"/>
          <w:b/>
          <w:bCs/>
          <w:color w:val="14161B"/>
          <w:sz w:val="22"/>
          <w:szCs w:val="22"/>
        </w:rPr>
        <w:t xml:space="preserve">4. THE INTERNAL COMMITTEE</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Company has constituted an Internal Committee at each workplace where it employs the number of persons at which the requirement applies. The composition of the Committee at each workplace is set out in Annexure A and is displayed at the workplace.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Committee comprises: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 </w:t>
      </w:r>
      <w:r>
        <w:rPr>
          <w:rFonts w:ascii="Calibri" w:cs="Calibri" w:eastAsia="Calibri" w:hAnsi="Calibri"/>
          <w:b/>
          <w:bCs/>
          <w:sz w:val="21"/>
          <w:szCs w:val="21"/>
        </w:rPr>
        <w:t xml:space="preserve">Presiding Officer</w:t>
      </w:r>
      <w:r>
        <w:rPr>
          <w:rFonts w:ascii="Calibri" w:cs="Calibri" w:eastAsia="Calibri" w:hAnsi="Calibri"/>
          <w:sz w:val="21"/>
          <w:szCs w:val="21"/>
        </w:rPr>
        <w:t xml:space="preserve">, who is a </w:t>
      </w:r>
      <w:r>
        <w:rPr>
          <w:rFonts w:ascii="Calibri" w:cs="Calibri" w:eastAsia="Calibri" w:hAnsi="Calibri"/>
          <w:b/>
          <w:bCs/>
          <w:sz w:val="21"/>
          <w:szCs w:val="21"/>
        </w:rPr>
        <w:t xml:space="preserve">woman</w:t>
      </w:r>
      <w:r>
        <w:rPr>
          <w:rFonts w:ascii="Calibri" w:cs="Calibri" w:eastAsia="Calibri" w:hAnsi="Calibri"/>
          <w:sz w:val="21"/>
          <w:szCs w:val="21"/>
        </w:rPr>
        <w:t xml:space="preserve"> employed at a senior level at the workplace;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not fewer than </w:t>
      </w:r>
      <w:r>
        <w:rPr>
          <w:rFonts w:ascii="Calibri" w:cs="Calibri" w:eastAsia="Calibri" w:hAnsi="Calibri"/>
          <w:b/>
          <w:bCs/>
          <w:sz w:val="21"/>
          <w:szCs w:val="21"/>
        </w:rPr>
        <w:t xml:space="preserve">two members</w:t>
      </w:r>
      <w:r>
        <w:rPr>
          <w:rFonts w:ascii="Calibri" w:cs="Calibri" w:eastAsia="Calibri" w:hAnsi="Calibri"/>
          <w:sz w:val="21"/>
          <w:szCs w:val="21"/>
        </w:rPr>
        <w:t xml:space="preserve"> from among the employees, preferably committed to the cause of women or who have had experience in social work or have legal knowledge; and</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one </w:t>
      </w:r>
      <w:r>
        <w:rPr>
          <w:rFonts w:ascii="Calibri" w:cs="Calibri" w:eastAsia="Calibri" w:hAnsi="Calibri"/>
          <w:b/>
          <w:bCs/>
          <w:sz w:val="21"/>
          <w:szCs w:val="21"/>
        </w:rPr>
        <w:t xml:space="preserve">external member</w:t>
      </w:r>
      <w:r>
        <w:rPr>
          <w:rFonts w:ascii="Calibri" w:cs="Calibri" w:eastAsia="Calibri" w:hAnsi="Calibri"/>
          <w:sz w:val="21"/>
          <w:szCs w:val="21"/>
        </w:rPr>
        <w:t xml:space="preserve"> from a non-governmental organisation or association committed to the cause of women, or a person familiar with issues relating to sexual harassment.</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Not less than one half of the total members shall be women.</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Members hold office for a period not exceeding the maximum prescribed, and the external member is paid the fees or allowances prescribed.</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A member shall be removed where that member contravenes confidentiality, is convicted of an offence or has an inquiry pending against them, is found guilty in a disciplinary proceeding, or has abused their position so as to render continuance prejudicial to the public interest.</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Where a complaint concerns a member of the Committee, that member shall take no part in the proceedings and shall be replaced for that inquiry.</w:t>
      </w:r>
    </w:p>
    <w:p>
      <w:pPr>
        <w:spacing w:after="120" w:before="60" w:line="276"/>
        <w:ind w:left="720" w:hanging="720"/>
        <w:jc w:val="both"/>
      </w:pPr>
      <w:r>
        <w:rPr>
          <w:rFonts w:ascii="Calibri" w:cs="Calibri" w:eastAsia="Calibri" w:hAnsi="Calibri"/>
          <w:sz w:val="21"/>
          <w:szCs w:val="21"/>
        </w:rPr>
        <w:t xml:space="preserve">4.6	</w:t>
      </w:r>
      <w:r>
        <w:rPr>
          <w:rFonts w:ascii="Calibri" w:cs="Calibri" w:eastAsia="Calibri" w:hAnsi="Calibri"/>
          <w:sz w:val="21"/>
          <w:szCs w:val="21"/>
        </w:rPr>
        <w:t xml:space="preserve">The Company shall provide the Committee with the facilities it needs, shall train its members, and shall make available such assistance as the Committee requires to secure the attendance of any person and to conduct the inquiry.</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MAKING A COMPLAINT</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A complaint of sexual harassment may be made in writing to the Internal Committee within </w:t>
      </w:r>
      <w:r>
        <w:rPr>
          <w:rFonts w:ascii="Calibri" w:cs="Calibri" w:eastAsia="Calibri" w:hAnsi="Calibri"/>
          <w:b/>
          <w:bCs/>
          <w:sz w:val="21"/>
          <w:szCs w:val="21"/>
        </w:rPr>
        <w:t xml:space="preserve">three months</w:t>
      </w:r>
      <w:r>
        <w:rPr>
          <w:rFonts w:ascii="Calibri" w:cs="Calibri" w:eastAsia="Calibri" w:hAnsi="Calibri"/>
          <w:sz w:val="21"/>
          <w:szCs w:val="21"/>
        </w:rPr>
        <w:t xml:space="preserve"> of the incident, or of the last incident in a series. The Committee may extend that period by a further </w:t>
      </w:r>
      <w:r>
        <w:rPr>
          <w:rFonts w:ascii="Calibri" w:cs="Calibri" w:eastAsia="Calibri" w:hAnsi="Calibri"/>
          <w:b/>
          <w:bCs/>
          <w:sz w:val="21"/>
          <w:szCs w:val="21"/>
        </w:rPr>
        <w:t xml:space="preserve">three months</w:t>
      </w:r>
      <w:r>
        <w:rPr>
          <w:rFonts w:ascii="Calibri" w:cs="Calibri" w:eastAsia="Calibri" w:hAnsi="Calibri"/>
          <w:sz w:val="21"/>
          <w:szCs w:val="21"/>
        </w:rPr>
        <w:t xml:space="preserve"> where it is satisfied that circumstances prevented the complaint being made in time, and shall record the reasons in writing.</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complaint should describe what happened, when and where, who was involved, the names of any witnesses, and any supporting material. Where a person is unable to make a complaint in writing, the Presiding Officer or any member shall render all reasonable assistance to put the complaint in writing.</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Where the person is unable to make a complaint by reason of physical or mental incapacity or death, a complaint may be made by the persons permitted by law to do so, with the consent required.</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Complaints may be made to: </w:t>
      </w:r>
      <w:r>
        <w:rPr>
          <w:rFonts w:ascii="Calibri" w:cs="Calibri" w:eastAsia="Calibri" w:hAnsi="Calibri"/>
          <w:b/>
          <w:bCs/>
          <w:sz w:val="21"/>
          <w:szCs w:val="21"/>
        </w:rPr>
        <w:t xml:space="preserve">[NAME]</w:t>
      </w:r>
      <w:r>
        <w:rPr>
          <w:rFonts w:ascii="Calibri" w:cs="Calibri" w:eastAsia="Calibri" w:hAnsi="Calibri"/>
          <w:sz w:val="21"/>
          <w:szCs w:val="21"/>
        </w:rPr>
        <w:t xml:space="preserve">, Presiding Officer, at </w:t>
      </w:r>
      <w:r>
        <w:rPr>
          <w:rFonts w:ascii="Calibri" w:cs="Calibri" w:eastAsia="Calibri" w:hAnsi="Calibri"/>
          <w:b/>
          <w:bCs/>
          <w:sz w:val="21"/>
          <w:szCs w:val="21"/>
        </w:rPr>
        <w:t xml:space="preserve">[EMAIL]</w:t>
      </w:r>
      <w:r>
        <w:rPr>
          <w:rFonts w:ascii="Calibri" w:cs="Calibri" w:eastAsia="Calibri" w:hAnsi="Calibri"/>
          <w:sz w:val="21"/>
          <w:szCs w:val="21"/>
        </w:rPr>
        <w:t xml:space="preserve"> and </w:t>
      </w:r>
      <w:r>
        <w:rPr>
          <w:rFonts w:ascii="Calibri" w:cs="Calibri" w:eastAsia="Calibri" w:hAnsi="Calibri"/>
          <w:b/>
          <w:bCs/>
          <w:sz w:val="21"/>
          <w:szCs w:val="21"/>
        </w:rPr>
        <w:t xml:space="preserve">[PHONE]</w:t>
      </w:r>
      <w:r>
        <w:rPr>
          <w:rFonts w:ascii="Calibri" w:cs="Calibri" w:eastAsia="Calibri" w:hAnsi="Calibri"/>
          <w:sz w:val="21"/>
          <w:szCs w:val="21"/>
        </w:rPr>
        <w:t xml:space="preserve">; or any Committee member listed in Annexure A; or through </w:t>
      </w:r>
      <w:r>
        <w:rPr>
          <w:rFonts w:ascii="Calibri" w:cs="Calibri" w:eastAsia="Calibri" w:hAnsi="Calibri"/>
          <w:b/>
          <w:bCs/>
          <w:sz w:val="21"/>
          <w:szCs w:val="21"/>
        </w:rPr>
        <w:t xml:space="preserve">[ANY CONFIDENTIAL CHANNEL PROVIDED]</w:t>
      </w:r>
      <w:r>
        <w:rPr>
          <w:rFonts w:ascii="Calibri" w:cs="Calibri" w:eastAsia="Calibri" w:hAnsi="Calibri"/>
          <w:sz w:val="21"/>
          <w:szCs w:val="21"/>
        </w:rPr>
        <w:t xml:space="preserve">. A person may speak informally to any Committee member before deciding whether to make a formal complaint.</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A complaint may be withdrawn at any stage. A withdrawal does not prevent the Company from taking action under its code of conduct where the conduct described requires it.</w:t>
      </w:r>
    </w:p>
    <w:p>
      <w:pPr>
        <w:keepNext/>
        <w:spacing w:after="120" w:before="280"/>
        <w:outlineLvl w:val="0"/>
      </w:pPr>
      <w:r>
        <w:rPr>
          <w:rFonts w:ascii="Calibri" w:cs="Calibri" w:eastAsia="Calibri" w:hAnsi="Calibri"/>
          <w:b/>
          <w:bCs/>
          <w:color w:val="14161B"/>
          <w:sz w:val="22"/>
          <w:szCs w:val="22"/>
        </w:rPr>
        <w:t xml:space="preserve">6. CONCILIATION</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Before initiating an inquiry, the Committee may, </w:t>
      </w:r>
      <w:r>
        <w:rPr>
          <w:rFonts w:ascii="Calibri" w:cs="Calibri" w:eastAsia="Calibri" w:hAnsi="Calibri"/>
          <w:b/>
          <w:bCs/>
          <w:sz w:val="21"/>
          <w:szCs w:val="21"/>
        </w:rPr>
        <w:t xml:space="preserve">at the request of the complainant</w:t>
      </w:r>
      <w:r>
        <w:rPr>
          <w:rFonts w:ascii="Calibri" w:cs="Calibri" w:eastAsia="Calibri" w:hAnsi="Calibri"/>
          <w:sz w:val="21"/>
          <w:szCs w:val="21"/>
        </w:rPr>
        <w:t xml:space="preserve">, take steps to settle the matter by conciliation. The Committee shall not initiate conciliation of its own motion, and shall not pressure a complainant to accept it.</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No monetary settlement shall be made the basis of conciliation.</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Where a settlement is arrived at, the Committee shall record it and forward it for action, and shall provide copies to both parties. Where a settlement is reached, no further inquiry shall be conducted.</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Where the complainant informs the Committee that a term of the settlement has not been complied with, the Committee shall proceed to conduct an inquiry.</w:t>
      </w:r>
    </w:p>
    <w:p>
      <w:pPr>
        <w:keepNext/>
        <w:spacing w:after="120" w:before="280"/>
        <w:outlineLvl w:val="0"/>
      </w:pPr>
      <w:r>
        <w:rPr>
          <w:rFonts w:ascii="Calibri" w:cs="Calibri" w:eastAsia="Calibri" w:hAnsi="Calibri"/>
          <w:b/>
          <w:bCs/>
          <w:color w:val="14161B"/>
          <w:sz w:val="22"/>
          <w:szCs w:val="22"/>
        </w:rPr>
        <w:t xml:space="preserve">7. INQUIRY</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Committee shall inquire into the complaint in accordance with the principles of natural justice and, where service rules or standing orders apply, in accordance with them.</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Committee shall send a copy of the complaint to the respondent within the period prescribed, and the respondent shall file a reply with supporting documents and the names of witnesses within the period prescribed.</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Both parties shall be given an opportunity to be heard, to produce documents and witnesses, and to receive a copy of the findings so as to make representations against them. Neither party may bring a legal practitioner to represent them before the Committee.</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The inquiry shall be completed within </w:t>
      </w:r>
      <w:r>
        <w:rPr>
          <w:rFonts w:ascii="Calibri" w:cs="Calibri" w:eastAsia="Calibri" w:hAnsi="Calibri"/>
          <w:b/>
          <w:bCs/>
          <w:sz w:val="21"/>
          <w:szCs w:val="21"/>
        </w:rPr>
        <w:t xml:space="preserve">ninety days</w:t>
      </w:r>
      <w:r>
        <w:rPr>
          <w:rFonts w:ascii="Calibri" w:cs="Calibri" w:eastAsia="Calibri" w:hAnsi="Calibri"/>
          <w:sz w:val="21"/>
          <w:szCs w:val="21"/>
        </w:rPr>
        <w:t xml:space="preserve"> of the complaint.</w:t>
      </w:r>
    </w:p>
    <w:p>
      <w:pPr>
        <w:spacing w:after="120" w:before="60" w:line="276"/>
        <w:ind w:left="720" w:hanging="720"/>
        <w:jc w:val="both"/>
      </w:pPr>
      <w:r>
        <w:rPr>
          <w:rFonts w:ascii="Calibri" w:cs="Calibri" w:eastAsia="Calibri" w:hAnsi="Calibri"/>
          <w:sz w:val="21"/>
          <w:szCs w:val="21"/>
        </w:rPr>
        <w:t xml:space="preserve">7.5	</w:t>
      </w:r>
      <w:r>
        <w:rPr>
          <w:rFonts w:ascii="Calibri" w:cs="Calibri" w:eastAsia="Calibri" w:hAnsi="Calibri"/>
          <w:sz w:val="21"/>
          <w:szCs w:val="21"/>
        </w:rPr>
        <w:t xml:space="preserve">Where either party fails, without sufficient cause, to attend three consecutive hearings, the Committee may, after giving fifteen days’ written notice, terminate the proceedings or give an ex parte decision.</w:t>
      </w:r>
    </w:p>
    <w:p>
      <w:pPr>
        <w:spacing w:after="120" w:before="60" w:line="276"/>
        <w:ind w:left="720" w:hanging="720"/>
        <w:jc w:val="both"/>
      </w:pPr>
      <w:r>
        <w:rPr>
          <w:rFonts w:ascii="Calibri" w:cs="Calibri" w:eastAsia="Calibri" w:hAnsi="Calibri"/>
          <w:sz w:val="21"/>
          <w:szCs w:val="21"/>
        </w:rPr>
        <w:t xml:space="preserve">7.6	</w:t>
      </w:r>
      <w:r>
        <w:rPr>
          <w:rFonts w:ascii="Calibri" w:cs="Calibri" w:eastAsia="Calibri" w:hAnsi="Calibri"/>
          <w:b/>
          <w:bCs/>
          <w:sz w:val="21"/>
          <w:szCs w:val="21"/>
        </w:rPr>
        <w:t xml:space="preserve">Interim measures.</w:t>
      </w:r>
      <w:r>
        <w:rPr>
          <w:rFonts w:ascii="Calibri" w:cs="Calibri" w:eastAsia="Calibri" w:hAnsi="Calibri"/>
          <w:sz w:val="21"/>
          <w:szCs w:val="21"/>
        </w:rPr>
        <w:t xml:space="preserve"> During the pendency of an inquiry, the Committee may, at the written request of the complainant, recommend that the Company transfer either party to another workplace, grant the complainant leave of up to the period prescribed in addition to leave otherwise entitled, restrain the respondent from reporting on or assessing the complainant’s work, or grant such other relief as may be prescribed. Leave granted under this Clause shall not be deducted from the complainant’s leave entitlement.</w:t>
      </w:r>
    </w:p>
    <w:p>
      <w:pPr>
        <w:spacing w:after="120" w:before="60" w:line="276"/>
        <w:ind w:left="720" w:hanging="720"/>
        <w:jc w:val="both"/>
      </w:pPr>
      <w:r>
        <w:rPr>
          <w:rFonts w:ascii="Calibri" w:cs="Calibri" w:eastAsia="Calibri" w:hAnsi="Calibri"/>
          <w:sz w:val="21"/>
          <w:szCs w:val="21"/>
        </w:rPr>
        <w:t xml:space="preserve">7.7	</w:t>
      </w:r>
      <w:r>
        <w:rPr>
          <w:rFonts w:ascii="Calibri" w:cs="Calibri" w:eastAsia="Calibri" w:hAnsi="Calibri"/>
          <w:sz w:val="21"/>
          <w:szCs w:val="21"/>
        </w:rPr>
        <w:t xml:space="preserve">The Committee shall provide a report of its findings to the Company within </w:t>
      </w:r>
      <w:r>
        <w:rPr>
          <w:rFonts w:ascii="Calibri" w:cs="Calibri" w:eastAsia="Calibri" w:hAnsi="Calibri"/>
          <w:b/>
          <w:bCs/>
          <w:sz w:val="21"/>
          <w:szCs w:val="21"/>
        </w:rPr>
        <w:t xml:space="preserve">ten days</w:t>
      </w:r>
      <w:r>
        <w:rPr>
          <w:rFonts w:ascii="Calibri" w:cs="Calibri" w:eastAsia="Calibri" w:hAnsi="Calibri"/>
          <w:sz w:val="21"/>
          <w:szCs w:val="21"/>
        </w:rPr>
        <w:t xml:space="preserve"> of the completion of the inquiry, and the report shall be made available to both parties.</w:t>
      </w:r>
    </w:p>
    <w:p>
      <w:pPr>
        <w:keepNext/>
        <w:spacing w:after="120" w:before="280"/>
        <w:outlineLvl w:val="0"/>
      </w:pPr>
      <w:r>
        <w:rPr>
          <w:rFonts w:ascii="Calibri" w:cs="Calibri" w:eastAsia="Calibri" w:hAnsi="Calibri"/>
          <w:b/>
          <w:bCs/>
          <w:color w:val="14161B"/>
          <w:sz w:val="22"/>
          <w:szCs w:val="22"/>
        </w:rPr>
        <w:t xml:space="preserve">8. OUTCOME AND ACTION</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Where the Committee concludes that the allegation has </w:t>
      </w:r>
      <w:r>
        <w:rPr>
          <w:rFonts w:ascii="Calibri" w:cs="Calibri" w:eastAsia="Calibri" w:hAnsi="Calibri"/>
          <w:b/>
          <w:bCs/>
          <w:sz w:val="21"/>
          <w:szCs w:val="21"/>
        </w:rPr>
        <w:t xml:space="preserve">not</w:t>
      </w:r>
      <w:r>
        <w:rPr>
          <w:rFonts w:ascii="Calibri" w:cs="Calibri" w:eastAsia="Calibri" w:hAnsi="Calibri"/>
          <w:sz w:val="21"/>
          <w:szCs w:val="21"/>
        </w:rPr>
        <w:t xml:space="preserve"> been proved, it shall recommend that no action is required, and shall record its reasons.</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Where the Committee concludes that the allegation </w:t>
      </w:r>
      <w:r>
        <w:rPr>
          <w:rFonts w:ascii="Calibri" w:cs="Calibri" w:eastAsia="Calibri" w:hAnsi="Calibri"/>
          <w:b/>
          <w:bCs/>
          <w:sz w:val="21"/>
          <w:szCs w:val="21"/>
        </w:rPr>
        <w:t xml:space="preserve">has</w:t>
      </w:r>
      <w:r>
        <w:rPr>
          <w:rFonts w:ascii="Calibri" w:cs="Calibri" w:eastAsia="Calibri" w:hAnsi="Calibri"/>
          <w:sz w:val="21"/>
          <w:szCs w:val="21"/>
        </w:rPr>
        <w:t xml:space="preserve"> been proved, it shall recommend action against the respondent, which may include: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action for misconduct in accordance with the Company’s disciplinary procedure and any applicable service rules or standing orders, up to and including termination of employment;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a written apology, warning, reprimand or censure;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withholding of promotion or of an increment;</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undergoing counselling or carrying out community service;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deduction from the respondent’s salary or wages of such sum as the Committee considers appropriate to be paid to the complainant or to her legal heirs, or, where that is not possible, direction to the respondent to pay that sum.</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In determining any sum payable, the Committee shall have regard to the mental trauma, pain, suffering and emotional distress caused, the loss in career opportunity, medical expenses incurred, the income and financial status of the respondent, and the feasibility of payment in a lump sum or in instalments.</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The Company shall act on the recommendations within </w:t>
      </w:r>
      <w:r>
        <w:rPr>
          <w:rFonts w:ascii="Calibri" w:cs="Calibri" w:eastAsia="Calibri" w:hAnsi="Calibri"/>
          <w:b/>
          <w:bCs/>
          <w:sz w:val="21"/>
          <w:szCs w:val="21"/>
        </w:rPr>
        <w:t xml:space="preserve">sixty days</w:t>
      </w:r>
      <w:r>
        <w:rPr>
          <w:rFonts w:ascii="Calibri" w:cs="Calibri" w:eastAsia="Calibri" w:hAnsi="Calibri"/>
          <w:sz w:val="21"/>
          <w:szCs w:val="21"/>
        </w:rPr>
        <w:t xml:space="preserve"> of receiving the report.</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Either party may appeal against the recommendations, or against non-implementation of them, in the manner and within the period prescribed by law.</w:t>
      </w:r>
    </w:p>
    <w:p>
      <w:pPr>
        <w:spacing w:after="120" w:before="60" w:line="276"/>
        <w:ind w:left="720" w:hanging="720"/>
        <w:jc w:val="both"/>
      </w:pPr>
      <w:r>
        <w:rPr>
          <w:rFonts w:ascii="Calibri" w:cs="Calibri" w:eastAsia="Calibri" w:hAnsi="Calibri"/>
          <w:sz w:val="21"/>
          <w:szCs w:val="21"/>
        </w:rPr>
        <w:t xml:space="preserve">8.6	</w:t>
      </w:r>
      <w:r>
        <w:rPr>
          <w:rFonts w:ascii="Calibri" w:cs="Calibri" w:eastAsia="Calibri" w:hAnsi="Calibri"/>
          <w:b/>
          <w:bCs/>
          <w:sz w:val="21"/>
          <w:szCs w:val="21"/>
        </w:rPr>
        <w:t xml:space="preserve">Malicious complaints.</w:t>
      </w:r>
      <w:r>
        <w:rPr>
          <w:rFonts w:ascii="Calibri" w:cs="Calibri" w:eastAsia="Calibri" w:hAnsi="Calibri"/>
          <w:sz w:val="21"/>
          <w:szCs w:val="21"/>
        </w:rPr>
        <w:t xml:space="preserve"> Where the Committee concludes that a complaint was </w:t>
      </w:r>
      <w:r>
        <w:rPr>
          <w:rFonts w:ascii="Calibri" w:cs="Calibri" w:eastAsia="Calibri" w:hAnsi="Calibri"/>
          <w:b/>
          <w:bCs/>
          <w:sz w:val="21"/>
          <w:szCs w:val="21"/>
        </w:rPr>
        <w:t xml:space="preserve">malicious</w:t>
      </w:r>
      <w:r>
        <w:rPr>
          <w:rFonts w:ascii="Calibri" w:cs="Calibri" w:eastAsia="Calibri" w:hAnsi="Calibri"/>
          <w:sz w:val="21"/>
          <w:szCs w:val="21"/>
        </w:rPr>
        <w:t xml:space="preserve">, or that a person has produced a forged or misleading document, it may recommend action against that person. A complaint that is not substantiated is </w:t>
      </w:r>
      <w:r>
        <w:rPr>
          <w:rFonts w:ascii="Calibri" w:cs="Calibri" w:eastAsia="Calibri" w:hAnsi="Calibri"/>
          <w:b/>
          <w:bCs/>
          <w:sz w:val="21"/>
          <w:szCs w:val="21"/>
        </w:rPr>
        <w:t xml:space="preserve">not</w:t>
      </w:r>
      <w:r>
        <w:rPr>
          <w:rFonts w:ascii="Calibri" w:cs="Calibri" w:eastAsia="Calibri" w:hAnsi="Calibri"/>
          <w:sz w:val="21"/>
          <w:szCs w:val="21"/>
        </w:rPr>
        <w:t xml:space="preserve"> for that reason malicious, and no action shall be taken against a complainant merely because the allegation could not be proved. Malice must be separately established through an inquiry.</w:t>
      </w:r>
    </w:p>
    <w:p>
      <w:pPr>
        <w:keepNext/>
        <w:spacing w:after="120" w:before="280"/>
        <w:outlineLvl w:val="0"/>
      </w:pPr>
      <w:r>
        <w:rPr>
          <w:rFonts w:ascii="Calibri" w:cs="Calibri" w:eastAsia="Calibri" w:hAnsi="Calibri"/>
          <w:b/>
          <w:bCs/>
          <w:color w:val="14161B"/>
          <w:sz w:val="22"/>
          <w:szCs w:val="22"/>
        </w:rPr>
        <w:t xml:space="preserve">9. CONFIDENTIALITY AND NON-RETALIATION</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The identity of the complainant, the respondent, the witnesses, the contents of the complaint, the inquiry proceedings, the recommendations and the action taken shall not be published, communicated or made known to the public, press or media in any manner, save that the Company may disseminate information regarding the justice secured without disclosing identifying particulars.</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Any person who breaches confidentiality shall be liable to action under the Company’s disciplinary procedure and to the penalty prescribed by law.</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The Company will not tolerate retaliation against any person who makes a complaint in good faith, assists an inquiry, or gives evidence. Retaliation is itself misconduct and will be dealt with accordingly. Any person who experiences retaliation should report it to the Presiding Officer immediately.</w:t>
      </w:r>
    </w:p>
    <w:p>
      <w:pPr>
        <w:keepNext/>
        <w:spacing w:after="120" w:before="280"/>
        <w:outlineLvl w:val="0"/>
      </w:pPr>
      <w:r>
        <w:rPr>
          <w:rFonts w:ascii="Calibri" w:cs="Calibri" w:eastAsia="Calibri" w:hAnsi="Calibri"/>
          <w:b/>
          <w:bCs/>
          <w:color w:val="14161B"/>
          <w:sz w:val="22"/>
          <w:szCs w:val="22"/>
        </w:rPr>
        <w:t xml:space="preserve">10. DUTIES OF THE COMPANY</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The Company shall provide a safe working environment; display conspicuously at the workplace the penal consequences of sexual harassment and the composition of the Internal Committee; organise workshops and awareness programmes at regular intervals for employees and orientation programmes for Committee members; provide the Committee with the necessary facilities; assist in securing the attendance of the respondent and witnesses; make available to the Committee such information as it requires; assist a complainant who wishes to file a criminal complaint; treat sexual harassment as misconduct under the service rules and initiate action accordingly; and monitor the timely submission of reports by the Committee.</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The Company shall include in its Board’s report the number of complaints received, the number disposed of, the number pending beyond ninety days, and the number of awareness programmes conducted during the year.</w:t>
      </w:r>
    </w:p>
    <w:p>
      <w:pPr>
        <w:spacing w:after="120" w:before="60" w:line="276"/>
        <w:ind w:left="720" w:hanging="720"/>
        <w:jc w:val="both"/>
      </w:pPr>
      <w:r>
        <w:rPr>
          <w:rFonts w:ascii="Calibri" w:cs="Calibri" w:eastAsia="Calibri" w:hAnsi="Calibri"/>
          <w:sz w:val="21"/>
          <w:szCs w:val="21"/>
        </w:rPr>
        <w:t xml:space="preserve">10.3	</w:t>
      </w:r>
      <w:r>
        <w:rPr>
          <w:rFonts w:ascii="Calibri" w:cs="Calibri" w:eastAsia="Calibri" w:hAnsi="Calibri"/>
          <w:sz w:val="21"/>
          <w:szCs w:val="21"/>
        </w:rPr>
        <w:t xml:space="preserve">The Internal Committee shall prepare an annual report in the form prescribed and submit it to the Company and to the officer designated under the legislation.</w:t>
      </w:r>
    </w:p>
    <w:p>
      <w:pPr>
        <w:spacing w:after="120" w:before="60" w:line="276"/>
        <w:ind w:left="720" w:hanging="720"/>
        <w:jc w:val="both"/>
      </w:pPr>
      <w:r>
        <w:rPr>
          <w:rFonts w:ascii="Calibri" w:cs="Calibri" w:eastAsia="Calibri" w:hAnsi="Calibri"/>
          <w:sz w:val="21"/>
          <w:szCs w:val="21"/>
        </w:rPr>
        <w:t xml:space="preserve">10.4	</w:t>
      </w:r>
      <w:r>
        <w:rPr>
          <w:rFonts w:ascii="Calibri" w:cs="Calibri" w:eastAsia="Calibri" w:hAnsi="Calibri"/>
          <w:sz w:val="21"/>
          <w:szCs w:val="21"/>
        </w:rPr>
        <w:t xml:space="preserve">The Company shall include in every contract with a contractor a requirement that the contractor complies with this policy in respect of its personnel deployed at the Company’s workplace.</w:t>
      </w:r>
    </w:p>
    <w:p>
      <w:pPr>
        <w:keepNext/>
        <w:spacing w:after="120" w:before="280"/>
        <w:outlineLvl w:val="0"/>
      </w:pPr>
      <w:r>
        <w:rPr>
          <w:rFonts w:ascii="Calibri" w:cs="Calibri" w:eastAsia="Calibri" w:hAnsi="Calibri"/>
          <w:b/>
          <w:bCs/>
          <w:color w:val="14161B"/>
          <w:sz w:val="22"/>
          <w:szCs w:val="22"/>
        </w:rPr>
        <w:t xml:space="preserve">11. RECORDS AND REVIEW</w:t>
      </w:r>
    </w:p>
    <w:p>
      <w:pPr>
        <w:spacing w:after="120" w:before="60" w:line="276"/>
        <w:ind w:left="720" w:hanging="720"/>
        <w:jc w:val="both"/>
      </w:pPr>
      <w:r>
        <w:rPr>
          <w:rFonts w:ascii="Calibri" w:cs="Calibri" w:eastAsia="Calibri" w:hAnsi="Calibri"/>
          <w:sz w:val="21"/>
          <w:szCs w:val="21"/>
        </w:rPr>
        <w:t xml:space="preserve">11.1	</w:t>
      </w:r>
      <w:r>
        <w:rPr>
          <w:rFonts w:ascii="Calibri" w:cs="Calibri" w:eastAsia="Calibri" w:hAnsi="Calibri"/>
          <w:sz w:val="21"/>
          <w:szCs w:val="21"/>
        </w:rPr>
        <w:t xml:space="preserve">The Committee shall maintain a complaint register recording each complaint, its date, the action taken and the outcome, and shall keep the records securely with access restricted to Committee members.</w:t>
      </w:r>
    </w:p>
    <w:p>
      <w:pPr>
        <w:spacing w:after="120" w:before="60" w:line="276"/>
        <w:ind w:left="720" w:hanging="720"/>
        <w:jc w:val="both"/>
      </w:pPr>
      <w:r>
        <w:rPr>
          <w:rFonts w:ascii="Calibri" w:cs="Calibri" w:eastAsia="Calibri" w:hAnsi="Calibri"/>
          <w:sz w:val="21"/>
          <w:szCs w:val="21"/>
        </w:rPr>
        <w:t xml:space="preserve">11.2	</w:t>
      </w:r>
      <w:r>
        <w:rPr>
          <w:rFonts w:ascii="Calibri" w:cs="Calibri" w:eastAsia="Calibri" w:hAnsi="Calibri"/>
          <w:sz w:val="21"/>
          <w:szCs w:val="21"/>
        </w:rPr>
        <w:t xml:space="preserve">Records shall be retained for the period prescribed and thereafter destroyed securely.</w:t>
      </w:r>
    </w:p>
    <w:p>
      <w:pPr>
        <w:spacing w:after="120" w:before="60" w:line="276"/>
        <w:ind w:left="720" w:hanging="720"/>
        <w:jc w:val="both"/>
      </w:pPr>
      <w:r>
        <w:rPr>
          <w:rFonts w:ascii="Calibri" w:cs="Calibri" w:eastAsia="Calibri" w:hAnsi="Calibri"/>
          <w:sz w:val="21"/>
          <w:szCs w:val="21"/>
        </w:rPr>
        <w:t xml:space="preserve">11.3	</w:t>
      </w:r>
      <w:r>
        <w:rPr>
          <w:rFonts w:ascii="Calibri" w:cs="Calibri" w:eastAsia="Calibri" w:hAnsi="Calibri"/>
          <w:sz w:val="21"/>
          <w:szCs w:val="21"/>
        </w:rPr>
        <w:t xml:space="preserve">This policy shall be reviewed annually and on any change in law.</w:t>
      </w:r>
    </w:p>
    <w:p>
      <w:pPr>
        <w:spacing w:after="220"/>
      </w:pPr>
    </w:p>
    <w:p>
      <w:pPr>
        <w:spacing w:after="240" w:before="0" w:line="276"/>
        <w:jc w:val="both"/>
      </w:pPr>
      <w:r>
        <w:rPr>
          <w:rFonts w:ascii="Calibri" w:cs="Calibri" w:eastAsia="Calibri" w:hAnsi="Calibri"/>
          <w:b/>
          <w:bCs/>
          <w:sz w:val="21"/>
          <w:szCs w:val="21"/>
        </w:rPr>
        <w:t xml:space="preserve">Approved by the Board of Directors of </w:t>
      </w:r>
      <w:r>
        <w:rPr>
          <w:rFonts w:ascii="Calibri" w:cs="Calibri" w:eastAsia="Calibri" w:hAnsi="Calibri"/>
          <w:b/>
          <w:bCs/>
          <w:sz w:val="21"/>
          <w:szCs w:val="21"/>
        </w:rPr>
        <w:t xml:space="preserve">[COMPANY NAME]</w:t>
      </w:r>
      <w:r>
        <w:rPr>
          <w:rFonts w:ascii="Calibri" w:cs="Calibri" w:eastAsia="Calibri" w:hAnsi="Calibri"/>
          <w:b/>
          <w:bCs/>
          <w:sz w:val="21"/>
          <w:szCs w:val="21"/>
        </w:rPr>
        <w:t xml:space="preserve"> on </w:t>
      </w:r>
      <w:r>
        <w:rPr>
          <w:rFonts w:ascii="Calibri" w:cs="Calibri" w:eastAsia="Calibri" w:hAnsi="Calibri"/>
          <w:b/>
          <w:bCs/>
          <w:sz w:val="21"/>
          <w:szCs w:val="21"/>
        </w:rPr>
        <w:t xml:space="preserve">[DATE]</w:t>
      </w:r>
      <w:r>
        <w:rPr>
          <w:rFonts w:ascii="Calibri" w:cs="Calibri" w:eastAsia="Calibri" w:hAnsi="Calibri"/>
          <w:b/>
          <w:bCs/>
          <w:sz w:val="21"/>
          <w:szCs w:val="21"/>
        </w:rPr>
        <w:t xml:space="preser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[Director]</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[Presiding Officer, Internal Committee]</w:t>
            </w:r>
          </w:p>
          <w:p>
            <w:pPr>
              <w:spacing w:after="90" w:line="264"/>
            </w:pP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Composition of the Internal Committee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1734"/>
        <w:gridCol w:w="1927"/>
        <w:gridCol w:w="1927"/>
        <w:gridCol w:w="963"/>
        <w:gridCol w:w="1734"/>
        <w:gridCol w:w="872"/>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Designation in the Company</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Role on the Committee</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Woman</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Contact</w:t>
            </w:r>
          </w:p>
        </w:tc>
        <w:tc>
          <w:tcPr>
            <w:tcW w:type="dxa" w:w="87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 until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[DESIGNATION]</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Presiding Officer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[EMAIL]</w:t>
            </w:r>
            <w:r>
              <w:rPr>
                <w:rFonts w:ascii="Calibri" w:cs="Calibri" w:eastAsia="Calibri" w:hAnsi="Calibri"/>
                <w:sz w:val="18"/>
                <w:szCs w:val="18"/>
              </w:rPr>
              <w:t xml:space="preserve"> / </w:t>
            </w:r>
            <w:r>
              <w:rPr>
                <w:rFonts w:ascii="Calibri" w:cs="Calibri" w:eastAsia="Calibri" w:hAnsi="Calibri"/>
                <w:b/>
                <w:bCs/>
                <w:sz w:val="18"/>
                <w:szCs w:val="18"/>
              </w:rPr>
              <w:t xml:space="preserve">[PHONE]</w:t>
            </w:r>
          </w:p>
        </w:tc>
        <w:tc>
          <w:tcPr>
            <w:tcW w:type="dxa" w:w="87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[DESIGNATION]</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Member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 / No]</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[EMAIL]</w:t>
            </w:r>
          </w:p>
        </w:tc>
        <w:tc>
          <w:tcPr>
            <w:tcW w:type="dxa" w:w="87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[DESIGNATION]</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Member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 / No]</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[EMAIL]</w:t>
            </w:r>
          </w:p>
        </w:tc>
        <w:tc>
          <w:tcPr>
            <w:tcW w:type="dxa" w:w="87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[ORGANISATION]</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External member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 / No]</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[EMAIL]</w:t>
            </w:r>
            <w:r>
              <w:rPr>
                <w:rFonts w:ascii="Calibri" w:cs="Calibri" w:eastAsia="Calibri" w:hAnsi="Calibri"/>
                <w:sz w:val="18"/>
                <w:szCs w:val="18"/>
              </w:rPr>
              <w:t xml:space="preserve"> / </w:t>
            </w:r>
            <w:r>
              <w:rPr>
                <w:rFonts w:ascii="Calibri" w:cs="Calibri" w:eastAsia="Calibri" w:hAnsi="Calibri"/>
                <w:b/>
                <w:bCs/>
                <w:sz w:val="18"/>
                <w:szCs w:val="18"/>
              </w:rPr>
              <w:t xml:space="preserve">[PHONE]</w:t>
            </w:r>
          </w:p>
        </w:tc>
        <w:tc>
          <w:tcPr>
            <w:tcW w:type="dxa" w:w="87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p>
        </w:tc>
        <w:tc>
          <w:tcPr>
            <w:tcW w:type="dxa" w:w="1734"/>
            <w:tcMar>
              <w:top w:type="dxa" w:w="70"/>
              <w:left w:type="dxa" w:w="100"/>
              <w:bottom w:type="dxa" w:w="70"/>
              <w:right w:type="dxa" w:w="100"/>
            </w:tcMar>
            <w:vAlign w:val="center"/>
          </w:tcPr>
          <w:p>
            <w:pPr>
              <w:spacing w:after="0" w:line="240"/>
              <w:jc w:val="left"/>
            </w:pPr>
          </w:p>
        </w:tc>
        <w:tc>
          <w:tcPr>
            <w:tcW w:type="dxa" w:w="1927"/>
            <w:tcMar>
              <w:top w:type="dxa" w:w="70"/>
              <w:left w:type="dxa" w:w="100"/>
              <w:bottom w:type="dxa" w:w="70"/>
              <w:right w:type="dxa" w:w="100"/>
            </w:tcMar>
            <w:vAlign w:val="center"/>
          </w:tcPr>
          <w:p>
            <w:pPr>
              <w:spacing w:after="0" w:line="240"/>
              <w:jc w:val="left"/>
            </w:pP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Women as a proportion of members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i/>
                <w:iCs/>
                <w:sz w:val="18"/>
                <w:szCs w:val="18"/>
              </w:rPr>
              <w:t xml:space="preserve">Must be not less than one half</w:t>
            </w:r>
          </w:p>
        </w:tc>
        <w:tc>
          <w:tcPr>
            <w:tcW w:type="dxa" w:w="872"/>
            <w:tcMar>
              <w:top w:type="dxa" w:w="70"/>
              <w:left w:type="dxa" w:w="100"/>
              <w:bottom w:type="dxa" w:w="70"/>
              <w:right w:type="dxa" w:w="100"/>
            </w:tcMar>
            <w:vAlign w:val="center"/>
          </w:tcPr>
          <w:p>
            <w:pPr>
              <w:spacing w:after="0" w:line="240"/>
              <w:jc w:val="left"/>
            </w:pP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Complaint Form</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Name of the complainant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Designation, department and employee ID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Contact details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r>
              <w:rPr>
                <w:rFonts w:ascii="Calibri" w:cs="Calibri" w:eastAsia="Calibri" w:hAnsi="Calibri"/>
                <w:sz w:val="19"/>
                <w:szCs w:val="19"/>
              </w:rPr>
              <w:t xml:space="preserve"> / </w:t>
            </w:r>
            <w:r>
              <w:rPr>
                <w:rFonts w:ascii="Calibri" w:cs="Calibri" w:eastAsia="Calibri" w:hAnsi="Calibri"/>
                <w:b/>
                <w:bCs/>
                <w:sz w:val="19"/>
                <w:szCs w:val="19"/>
              </w:rPr>
              <w:t xml:space="preserve">[PHONE]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Name and designation of the respondent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AND DESIGNATION]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Relationship to the respondent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[Reporting manager / Colleague / Client / Contractor / Other]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time and place of the incident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Whether a series of incidents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dates / No]</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Description of what happened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 IN THE COMPLAINANT’S OWN WORDS — attach additional sheets as needed]</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Names of witnesses, if any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 AND CONTACT DETAILS]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Supporting material attached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[Messages, emails, photographs, records — list]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Relief or interim measure sought, if any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Whether conciliation is requested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Signature and 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[SIGNATURE]</w:t>
            </w:r>
            <w:r>
              <w:rPr>
                <w:rFonts w:ascii="Calibri" w:cs="Calibri" w:eastAsia="Calibri" w:hAnsi="Calibri"/>
                <w:sz w:val="19"/>
                <w:szCs w:val="19"/>
              </w:rPr>
              <w:t xml:space="preserve">, </w:t>
            </w:r>
            <w:r>
              <w:rPr>
                <w:rFonts w:ascii="Calibri" w:cs="Calibri" w:eastAsia="Calibri" w:hAnsi="Calibri"/>
                <w:b/>
                <w:bCs/>
                <w:sz w:val="19"/>
                <w:szCs w:val="19"/>
              </w:rPr>
              <w:t xml:space="preserve">[DATE]</w:t>
            </w:r>
          </w:p>
        </w:tc>
      </w:tr>
    </w:tbl>
    <w:p>
      <w:pPr>
        <w:spacing w:after="140"/>
      </w:pPr>
    </w:p>
    <w:p>
      <w:pPr>
        <w:spacing w:after="160" w:before="0" w:line="276"/>
        <w:jc w:val="both"/>
      </w:pPr>
      <w:r>
        <w:rPr>
          <w:rFonts w:ascii="Calibri" w:cs="Calibri" w:eastAsia="Calibri" w:hAnsi="Calibri"/>
          <w:i/>
          <w:iCs/>
          <w:sz w:val="21"/>
          <w:szCs w:val="21"/>
        </w:rPr>
        <w:t xml:space="preserve">Received by:</w:t>
      </w:r>
      <w:r>
        <w:rPr>
          <w:rFonts w:ascii="Calibri" w:cs="Calibri" w:eastAsia="Calibri" w:hAnsi="Calibri"/>
          <w:sz w:val="21"/>
          <w:szCs w:val="21"/>
        </w:rPr>
        <w:t xml:space="preserve">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[role on the Committee]</w:t>
      </w:r>
      <w:r>
        <w:rPr>
          <w:rFonts w:ascii="Calibri" w:cs="Calibri" w:eastAsia="Calibri" w:hAnsi="Calibri"/>
          <w:sz w:val="21"/>
          <w:szCs w:val="21"/>
        </w:rPr>
        <w:t xml:space="preserve">  </w:t>
      </w:r>
      <w:r>
        <w:rPr>
          <w:rFonts w:ascii="Calibri" w:cs="Calibri" w:eastAsia="Calibri" w:hAnsi="Calibri"/>
          <w:i/>
          <w:iCs/>
          <w:sz w:val="21"/>
          <w:szCs w:val="21"/>
        </w:rPr>
        <w:t xml:space="preserve">Date received:</w:t>
      </w:r>
      <w:r>
        <w:rPr>
          <w:rFonts w:ascii="Calibri" w:cs="Calibri" w:eastAsia="Calibri" w:hAnsi="Calibri"/>
          <w:sz w:val="21"/>
          <w:szCs w:val="21"/>
        </w:rPr>
        <w:t xml:space="preserve">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i/>
          <w:iCs/>
          <w:sz w:val="21"/>
          <w:szCs w:val="21"/>
        </w:rPr>
        <w:t xml:space="preserve">Complaint reference:</w:t>
      </w:r>
      <w:r>
        <w:rPr>
          <w:rFonts w:ascii="Calibri" w:cs="Calibri" w:eastAsia="Calibri" w:hAnsi="Calibri"/>
          <w:sz w:val="21"/>
          <w:szCs w:val="21"/>
        </w:rPr>
        <w:t xml:space="preserve"> </w:t>
      </w:r>
      <w:r>
        <w:rPr>
          <w:rFonts w:ascii="Calibri" w:cs="Calibri" w:eastAsia="Calibri" w:hAnsi="Calibri"/>
          <w:b/>
          <w:bCs/>
          <w:sz w:val="21"/>
          <w:szCs w:val="21"/>
        </w:rPr>
        <w:t xml:space="preserve">[REF]</w:t>
      </w:r>
    </w:p>
    <w:p>
      <w:pPr>
        <w:spacing w:after="60" w:before="240"/>
        <w:jc w:val="center"/>
      </w:pPr>
      <w:r>
        <w:rPr>
          <w:rFonts w:ascii="Calibri" w:cs="Calibri" w:eastAsia="Calibri" w:hAnsi="Calibri"/>
          <w:b/>
          <w:bCs/>
          <w:color w:val="14161B"/>
          <w:spacing w:val="12"/>
          <w:sz w:val="28"/>
          <w:szCs w:val="28"/>
        </w:rPr>
        <w:t xml:space="preserve">ANNEXURE C</w:t>
      </w:r>
    </w:p>
    <w:p>
      <w:pPr>
        <w:spacing w:after="260"/>
        <w:jc w:val="center"/>
      </w:pPr>
      <w:r>
        <w:rPr>
          <w:rFonts w:ascii="Calibri" w:cs="Calibri" w:eastAsia="Calibri" w:hAnsi="Calibri"/>
          <w:i/>
          <w:iCs/>
          <w:color w:val="6E7480"/>
          <w:sz w:val="19"/>
          <w:szCs w:val="19"/>
        </w:rPr>
        <w:t xml:space="preserve">Inquiry Timeline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240"/>
        <w:gridCol w:w="2409"/>
        <w:gridCol w:w="1252"/>
        <w:gridCol w:w="1256"/>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Step</w:t>
            </w:r>
          </w:p>
        </w:tc>
        <w:tc>
          <w:tcPr>
            <w:tcW w:type="dxa" w:w="24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Timeline</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2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By</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Complaint received and acknowledged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receipt</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2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Complaint within three months of the incident, or extension recorded in writing</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At the outset</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2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Conciliation, where requested by the complainant</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the inquiry begins</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2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Copy of the complaint sent to the respondent</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the period prescribed</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2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Reply received from the respondent</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the period prescribed</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2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Interim measures recommended, where requested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Any time during the inquiry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2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Hearings conducted; both parties heard; witnesses examined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During the inquiry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[DATES]</w:t>
            </w:r>
          </w:p>
        </w:tc>
        <w:tc>
          <w:tcPr>
            <w:tcW w:type="dxa" w:w="12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Findings shared with both parties for representations</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the report</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2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Inquiry completed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Within 90 days of the complaint</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2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Report submitted to the Company</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Within 10 days of completion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2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Action taken on the recommendations</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Within 60 days of the report</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2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Both parties informed of the outcome and of the right of appeal</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action being taken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2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Entry made in the complaint register</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closure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2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Included in the annual report and in the Board’s report</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At year end</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25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This legislation stands apart from the labour codes</w:t>
      </w:r>
    </w:p>
    <w:p>
      <w:pPr>
        <w:spacing w:after="60" w:line="264"/>
        <w:jc w:val="both"/>
      </w:pPr>
      <w:r>
        <w:rPr>
          <w:rFonts w:ascii="Calibri" w:cs="Calibri" w:eastAsia="Calibri" w:hAnsi="Calibri"/>
          <w:sz w:val="19"/>
          <w:szCs w:val="19"/>
        </w:rPr>
        <w:t xml:space="preserve">The obligations to constitute an Internal Committee, to inquire within the statutory timelines and to file an annual report arise under separate legislation which continues to apply in its own terms. Do not assume that a general grievance procedure adopted under a code or a standing order satisfies it. The composition, the timelines and the reporting are all specific.</w:t>
      </w:r>
    </w:p>
    <w:p>
      <w:pPr>
        <w:keepNext/>
        <w:spacing w:after="40" w:before="140"/>
      </w:pPr>
      <w:r>
        <w:rPr>
          <w:rFonts w:ascii="Calibri" w:cs="Calibri" w:eastAsia="Calibri" w:hAnsi="Calibri"/>
          <w:b/>
          <w:bCs/>
          <w:color w:val="14161B"/>
          <w:sz w:val="20"/>
          <w:szCs w:val="20"/>
        </w:rPr>
        <w:t xml:space="preserve">A committee on paper is not compliance</w:t>
      </w:r>
    </w:p>
    <w:p>
      <w:pPr>
        <w:spacing w:after="60" w:line="264"/>
        <w:jc w:val="both"/>
      </w:pPr>
      <w:r>
        <w:rPr>
          <w:rFonts w:ascii="Calibri" w:cs="Calibri" w:eastAsia="Calibri" w:hAnsi="Calibri"/>
          <w:sz w:val="19"/>
          <w:szCs w:val="19"/>
        </w:rPr>
        <w:t xml:space="preserve">The most common failure is a Committee constituted once, never trained, without an external member, that has never met. The external member is mandatory, is paid the prescribed fees, and is the element most often omitted because it requires going outside the organisation. Appoint one, record the appointment, and refresh it when the term ends.</w:t>
      </w:r>
    </w:p>
    <w:p>
      <w:pPr>
        <w:keepNext/>
        <w:spacing w:after="40" w:before="140"/>
      </w:pPr>
      <w:r>
        <w:rPr>
          <w:rFonts w:ascii="Calibri" w:cs="Calibri" w:eastAsia="Calibri" w:hAnsi="Calibri"/>
          <w:b/>
          <w:bCs/>
          <w:color w:val="14161B"/>
          <w:sz w:val="20"/>
          <w:szCs w:val="20"/>
        </w:rPr>
        <w:t xml:space="preserve">Composition requirements are strict</w:t>
      </w:r>
    </w:p>
    <w:p>
      <w:pPr>
        <w:spacing w:after="60" w:line="264"/>
        <w:jc w:val="both"/>
      </w:pPr>
      <w:r>
        <w:rPr>
          <w:rFonts w:ascii="Calibri" w:cs="Calibri" w:eastAsia="Calibri" w:hAnsi="Calibri"/>
          <w:sz w:val="19"/>
          <w:szCs w:val="19"/>
        </w:rPr>
        <w:t xml:space="preserve">The Presiding Officer must be a woman employed at a senior level at that workplace. Not less than half the members must be women. An external member is required. Where a workplace does not have a woman at a senior level, the legislation provides for how the position is filled — take advice rather than appointing someone who does not meet the description.</w:t>
      </w:r>
    </w:p>
    <w:p>
      <w:pPr>
        <w:keepNext/>
        <w:spacing w:after="40" w:before="140"/>
      </w:pPr>
      <w:r>
        <w:rPr>
          <w:rFonts w:ascii="Calibri" w:cs="Calibri" w:eastAsia="Calibri" w:hAnsi="Calibri"/>
          <w:b/>
          <w:bCs/>
          <w:color w:val="14161B"/>
          <w:sz w:val="20"/>
          <w:szCs w:val="20"/>
        </w:rPr>
        <w:t xml:space="preserve">A committee at each workplace</w:t>
      </w:r>
    </w:p>
    <w:p>
      <w:pPr>
        <w:spacing w:after="60" w:line="264"/>
        <w:jc w:val="both"/>
      </w:pPr>
      <w:r>
        <w:rPr>
          <w:rFonts w:ascii="Calibri" w:cs="Calibri" w:eastAsia="Calibri" w:hAnsi="Calibri"/>
          <w:sz w:val="19"/>
          <w:szCs w:val="19"/>
        </w:rPr>
        <w:t xml:space="preserve">The requirement applies workplace by workplace, not company-wide. An organisation with offices in several cities generally needs a Committee at each, and Annexure A is drafted to be completed per workplace. A single central committee is a common and incorrect shortcut.</w:t>
      </w:r>
    </w:p>
    <w:p>
      <w:pPr>
        <w:keepNext/>
        <w:spacing w:after="40" w:before="140"/>
      </w:pPr>
      <w:r>
        <w:rPr>
          <w:rFonts w:ascii="Calibri" w:cs="Calibri" w:eastAsia="Calibri" w:hAnsi="Calibri"/>
          <w:b/>
          <w:bCs/>
          <w:color w:val="14161B"/>
          <w:sz w:val="20"/>
          <w:szCs w:val="20"/>
        </w:rPr>
        <w:t xml:space="preserve">The three-month limitation, and the extension</w:t>
      </w:r>
    </w:p>
    <w:p>
      <w:pPr>
        <w:spacing w:after="60" w:line="264"/>
        <w:jc w:val="both"/>
      </w:pPr>
      <w:r>
        <w:rPr>
          <w:rFonts w:ascii="Calibri" w:cs="Calibri" w:eastAsia="Calibri" w:hAnsi="Calibri"/>
          <w:sz w:val="19"/>
          <w:szCs w:val="19"/>
        </w:rPr>
        <w:t xml:space="preserve">A complaint must be made within three months of the incident or the last in a series, extendable by a further three months where the Committee records reasons in writing. The extension is not automatic and the reasons must be recorded at the time. Committees that extend informally, without a recorded reason, create a defect in the inquiry.</w:t>
      </w:r>
    </w:p>
    <w:p>
      <w:pPr>
        <w:keepNext/>
        <w:spacing w:after="40" w:before="140"/>
      </w:pPr>
      <w:r>
        <w:rPr>
          <w:rFonts w:ascii="Calibri" w:cs="Calibri" w:eastAsia="Calibri" w:hAnsi="Calibri"/>
          <w:b/>
          <w:bCs/>
          <w:color w:val="14161B"/>
          <w:sz w:val="20"/>
          <w:szCs w:val="20"/>
        </w:rPr>
        <w:t xml:space="preserve">Conciliation only at the complainant’s request</w:t>
      </w:r>
    </w:p>
    <w:p>
      <w:pPr>
        <w:spacing w:after="60" w:line="264"/>
        <w:jc w:val="both"/>
      </w:pPr>
      <w:r>
        <w:rPr>
          <w:rFonts w:ascii="Calibri" w:cs="Calibri" w:eastAsia="Calibri" w:hAnsi="Calibri"/>
          <w:sz w:val="19"/>
          <w:szCs w:val="19"/>
        </w:rPr>
        <w:t xml:space="preserve">Conciliation cannot be initiated by the Committee or the employer, and no monetary settlement may form its basis. Pressuring a complainant towards conciliation is itself a serious failure and undermines any settlement reached. Clause 6.1 states the constraint expressly for that reason.</w:t>
      </w:r>
    </w:p>
    <w:p>
      <w:pPr>
        <w:keepNext/>
        <w:spacing w:after="40" w:before="140"/>
      </w:pPr>
      <w:r>
        <w:rPr>
          <w:rFonts w:ascii="Calibri" w:cs="Calibri" w:eastAsia="Calibri" w:hAnsi="Calibri"/>
          <w:b/>
          <w:bCs/>
          <w:color w:val="14161B"/>
          <w:sz w:val="20"/>
          <w:szCs w:val="20"/>
        </w:rPr>
        <w:t xml:space="preserve">Ninety, ten, sixty</w:t>
      </w:r>
    </w:p>
    <w:p>
      <w:pPr>
        <w:spacing w:after="60" w:line="264"/>
        <w:jc w:val="both"/>
      </w:pPr>
      <w:r>
        <w:rPr>
          <w:rFonts w:ascii="Calibri" w:cs="Calibri" w:eastAsia="Calibri" w:hAnsi="Calibri"/>
          <w:sz w:val="19"/>
          <w:szCs w:val="19"/>
        </w:rPr>
        <w:t xml:space="preserve">The inquiry must be completed within ninety days of the complaint, the report submitted within ten days of completion, and action taken within sixty days of the report. Annexure C is designed to be used as a live tracker. Missing these timelines is the most frequently identified defect and the easiest to avoid.</w:t>
      </w:r>
    </w:p>
    <w:p>
      <w:pPr>
        <w:keepNext/>
        <w:spacing w:after="40" w:before="140"/>
      </w:pPr>
      <w:r>
        <w:rPr>
          <w:rFonts w:ascii="Calibri" w:cs="Calibri" w:eastAsia="Calibri" w:hAnsi="Calibri"/>
          <w:b/>
          <w:bCs/>
          <w:color w:val="14161B"/>
          <w:sz w:val="20"/>
          <w:szCs w:val="20"/>
        </w:rPr>
        <w:t xml:space="preserve">Unwelcome, not intended</w:t>
      </w:r>
    </w:p>
    <w:p>
      <w:pPr>
        <w:spacing w:after="60" w:line="264"/>
        <w:jc w:val="both"/>
      </w:pPr>
      <w:r>
        <w:rPr>
          <w:rFonts w:ascii="Calibri" w:cs="Calibri" w:eastAsia="Calibri" w:hAnsi="Calibri"/>
          <w:sz w:val="19"/>
          <w:szCs w:val="19"/>
        </w:rPr>
        <w:t xml:space="preserve">Clause 3.3 is the point that most needs explaining in training. The test is whether the conduct was unwelcome to the person experiencing it. Intention is not the measure, and an explanation that something was meant as a joke does not answer a complaint. Committees that apply an intention test reach the wrong conclusions.</w:t>
      </w:r>
    </w:p>
    <w:p>
      <w:pPr>
        <w:keepNext/>
        <w:spacing w:after="40" w:before="140"/>
      </w:pPr>
      <w:r>
        <w:rPr>
          <w:rFonts w:ascii="Calibri" w:cs="Calibri" w:eastAsia="Calibri" w:hAnsi="Calibri"/>
          <w:b/>
          <w:bCs/>
          <w:color w:val="14161B"/>
          <w:sz w:val="20"/>
          <w:szCs w:val="20"/>
        </w:rPr>
        <w:t xml:space="preserve">An unproved complaint is not a false one</w:t>
      </w:r>
    </w:p>
    <w:p>
      <w:pPr>
        <w:spacing w:after="60" w:line="264"/>
        <w:jc w:val="both"/>
      </w:pPr>
      <w:r>
        <w:rPr>
          <w:rFonts w:ascii="Calibri" w:cs="Calibri" w:eastAsia="Calibri" w:hAnsi="Calibri"/>
          <w:sz w:val="19"/>
          <w:szCs w:val="19"/>
        </w:rPr>
        <w:t xml:space="preserve">Clause 8.6 separates the two deliberately. Action for a malicious complaint requires malice to be separately established through an inquiry; failure to substantiate an allegation is not evidence of malice. Committees that treat the two as the same deter genuine complaints, which is the outcome the legislation exists to prevent.</w:t>
      </w:r>
    </w:p>
    <w:p>
      <w:pPr>
        <w:keepNext/>
        <w:spacing w:after="40" w:before="140"/>
      </w:pPr>
      <w:r>
        <w:rPr>
          <w:rFonts w:ascii="Calibri" w:cs="Calibri" w:eastAsia="Calibri" w:hAnsi="Calibri"/>
          <w:b/>
          <w:bCs/>
          <w:color w:val="14161B"/>
          <w:sz w:val="20"/>
          <w:szCs w:val="20"/>
        </w:rPr>
        <w:t xml:space="preserve">No lawyers before the Committee</w:t>
      </w:r>
    </w:p>
    <w:p>
      <w:pPr>
        <w:spacing w:after="60" w:line="264"/>
        <w:jc w:val="both"/>
      </w:pPr>
      <w:r>
        <w:rPr>
          <w:rFonts w:ascii="Calibri" w:cs="Calibri" w:eastAsia="Calibri" w:hAnsi="Calibri"/>
          <w:sz w:val="19"/>
          <w:szCs w:val="19"/>
        </w:rPr>
        <w:t xml:space="preserve">Neither party may be represented by a legal practitioner in the proceedings before the Committee. Parties may of course take advice outside. Committees are frequently pressed on this by a senior respondent; the position is clear.</w:t>
      </w:r>
    </w:p>
    <w:p>
      <w:pPr>
        <w:keepNext/>
        <w:spacing w:after="40" w:before="140"/>
      </w:pPr>
      <w:r>
        <w:rPr>
          <w:rFonts w:ascii="Calibri" w:cs="Calibri" w:eastAsia="Calibri" w:hAnsi="Calibri"/>
          <w:b/>
          <w:bCs/>
          <w:color w:val="14161B"/>
          <w:sz w:val="20"/>
          <w:szCs w:val="20"/>
        </w:rPr>
        <w:t xml:space="preserve">Confidentiality is absolute, with one exception</w:t>
      </w:r>
    </w:p>
    <w:p>
      <w:pPr>
        <w:spacing w:after="60" w:line="264"/>
        <w:jc w:val="both"/>
      </w:pPr>
      <w:r>
        <w:rPr>
          <w:rFonts w:ascii="Calibri" w:cs="Calibri" w:eastAsia="Calibri" w:hAnsi="Calibri"/>
          <w:sz w:val="19"/>
          <w:szCs w:val="19"/>
        </w:rPr>
        <w:t xml:space="preserve">The identities, the contents, the proceedings and the outcome may not be published or made known to the public, press or media. The employer may disseminate information about the justice secured without identifying particulars. Breach carries a penalty. This includes internal circulation beyond those who need to know.</w:t>
      </w:r>
    </w:p>
    <w:p>
      <w:pPr>
        <w:keepNext/>
        <w:spacing w:after="40" w:before="140"/>
      </w:pPr>
      <w:r>
        <w:rPr>
          <w:rFonts w:ascii="Calibri" w:cs="Calibri" w:eastAsia="Calibri" w:hAnsi="Calibri"/>
          <w:b/>
          <w:bCs/>
          <w:color w:val="14161B"/>
          <w:sz w:val="20"/>
          <w:szCs w:val="20"/>
        </w:rPr>
        <w:t xml:space="preserve">Contractors and gig personnel</w:t>
      </w:r>
    </w:p>
    <w:p>
      <w:pPr>
        <w:spacing w:after="60" w:line="264"/>
        <w:jc w:val="both"/>
      </w:pPr>
      <w:r>
        <w:rPr>
          <w:rFonts w:ascii="Calibri" w:cs="Calibri" w:eastAsia="Calibri" w:hAnsi="Calibri"/>
          <w:sz w:val="19"/>
          <w:szCs w:val="19"/>
        </w:rPr>
        <w:t xml:space="preserve">The protection extends to persons working at the workplace who are not employed by the Company, including contractor personnel, interns, trainees and volunteers. Clause 10.4 requires the obligation to be passed down in contracts. An organisation that applies the policy only to its own payroll has not covered the population the legislation protects.</w:t>
      </w:r>
    </w:p>
    <w:p>
      <w:pPr>
        <w:keepNext/>
        <w:spacing w:after="40" w:before="140"/>
      </w:pPr>
      <w:r>
        <w:rPr>
          <w:rFonts w:ascii="Calibri" w:cs="Calibri" w:eastAsia="Calibri" w:hAnsi="Calibri"/>
          <w:b/>
          <w:bCs/>
          <w:color w:val="14161B"/>
          <w:sz w:val="20"/>
          <w:szCs w:val="20"/>
        </w:rPr>
        <w:t xml:space="preserve">Board’s report and annual return</w:t>
      </w:r>
    </w:p>
    <w:p>
      <w:pPr>
        <w:spacing w:after="60" w:line="264"/>
        <w:jc w:val="both"/>
      </w:pPr>
      <w:r>
        <w:rPr>
          <w:rFonts w:ascii="Calibri" w:cs="Calibri" w:eastAsia="Calibri" w:hAnsi="Calibri"/>
          <w:sz w:val="19"/>
          <w:szCs w:val="19"/>
        </w:rPr>
        <w:t xml:space="preserve">The number of complaints received, disposed of and pending beyond ninety days must be disclosed in the Board’s report, and the Committee must file an annual report with the designated officer. Both are routinely missed, and the Board’s report disclosure has to come from records maintained during the year.</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Committee composition requirements, timelines, prescribed forms, penalties and reporting obligations change — have this policy and the Committee’s constitution reviewed by an employment adviser, and train the Committee before the first complaint rather than after it.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2026-08-21T12:53:54.925Z</dcterms:created>
  <dcterms:modified xsi:type="dcterms:W3CDTF">2026-08-21T12:53:54.925Z</dcterms:modified>
</cp:coreProperties>
</file>

<file path=docProps/custom.xml><?xml version="1.0" encoding="utf-8"?>
<Properties xmlns="http://schemas.openxmlformats.org/officeDocument/2006/custom-properties" xmlns:vt="http://schemas.openxmlformats.org/officeDocument/2006/docPropsVTypes"/>
</file>