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PROVIDENT FUND NOMINATION</w:t>
      </w:r>
    </w:p>
    <w:p>
      <w:pPr>
        <w:spacing w:after="260"/>
        <w:jc w:val="center"/>
      </w:pPr>
      <w:r>
        <w:rPr>
          <w:rFonts w:ascii="Calibri" w:cs="Calibri" w:eastAsia="Calibri" w:hAnsi="Calibri"/>
          <w:i/>
          <w:iCs/>
          <w:color w:val="6E7480"/>
          <w:sz w:val="19"/>
          <w:szCs w:val="19"/>
        </w:rPr>
        <w:t xml:space="preserve">Nomination and declaration for provident fund and pension</w:t>
      </w:r>
    </w:p>
    <w:p>
      <w:pPr>
        <w:spacing w:after="180" w:before="0" w:line="276"/>
        <w:jc w:val="both"/>
      </w:pPr>
      <w:r>
        <w:rPr>
          <w:rFonts w:ascii="Calibri" w:cs="Calibri" w:eastAsia="Calibri" w:hAnsi="Calibri"/>
          <w:i/>
          <w:iCs/>
          <w:color w:val="6E7480"/>
          <w:sz w:val="21"/>
          <w:szCs w:val="21"/>
        </w:rPr>
        <w:t xml:space="preserve">Two nominations are made on this one form and they follow different rules: the provident fund accumulation may be divided among family members as the member chooses, while the pension entitlement follows the family members the scheme recognises. Complete both parts — filling in only the first is the most common defect.</w:t>
      </w:r>
    </w:p>
    <w:p>
      <w:pPr>
        <w:spacing w:after="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  Establishment code: </w:t>
      </w:r>
      <w:r>
        <w:rPr>
          <w:rFonts w:ascii="Calibri" w:cs="Calibri" w:eastAsia="Calibri" w:hAnsi="Calibri"/>
          <w:b/>
          <w:bCs/>
          <w:sz w:val="21"/>
          <w:szCs w:val="21"/>
        </w:rPr>
        <w:t xml:space="preserve">[CODE]</w:t>
      </w:r>
    </w:p>
    <w:p>
      <w:pPr>
        <w:spacing w:after="160" w:before="0" w:line="276"/>
        <w:jc w:val="both"/>
      </w:pPr>
      <w:r>
        <w:rPr>
          <w:rFonts w:ascii="Calibri" w:cs="Calibri" w:eastAsia="Calibri" w:hAnsi="Calibri"/>
          <w:b/>
          <w:bCs/>
          <w:sz w:val="21"/>
          <w:szCs w:val="21"/>
        </w:rPr>
        <w:t xml:space="preserve">[ADDRESS OF THE ESTABLISHMENT]</w:t>
      </w:r>
    </w:p>
    <w:p>
      <w:pPr>
        <w:keepNext/>
        <w:spacing w:after="120" w:before="280"/>
        <w:outlineLvl w:val="0"/>
      </w:pPr>
      <w:r>
        <w:rPr>
          <w:rFonts w:ascii="Calibri" w:cs="Calibri" w:eastAsia="Calibri" w:hAnsi="Calibri"/>
          <w:b/>
          <w:bCs/>
          <w:color w:val="14161B"/>
          <w:sz w:val="22"/>
          <w:szCs w:val="22"/>
        </w:rPr>
        <w:t xml:space="preserve">1. PARTICULARS OF THE MEMBER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[Son / daughter / wife of]</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Provident fund account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Sex</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[MALE / FEMALE / OTHER]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Marital status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[Married / Unmarried / Widow / Widower / Divorced]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 the establishment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Aadhaar number, where linked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address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Present address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Contact details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r>
              <w:rPr>
                <w:rFonts w:ascii="Calibri" w:cs="Calibri" w:eastAsia="Calibri" w:hAnsi="Calibri"/>
                <w:sz w:val="19"/>
                <w:szCs w:val="19"/>
              </w:rPr>
              <w:t xml:space="preserve"> / </w:t>
            </w:r>
            <w:r>
              <w:rPr>
                <w:rFonts w:ascii="Calibri" w:cs="Calibri" w:eastAsia="Calibri" w:hAnsi="Calibri"/>
                <w:b/>
                <w:bCs/>
                <w:sz w:val="19"/>
                <w:szCs w:val="19"/>
              </w:rPr>
              <w:t xml:space="preserve">[EMAIL]</w:t>
            </w:r>
          </w:p>
        </w:tc>
      </w:tr>
    </w:tbl>
    <w:p>
      <w:pPr>
        <w:spacing w:after="180"/>
      </w:pPr>
    </w:p>
    <w:p>
      <w:pPr>
        <w:keepNext/>
        <w:spacing w:after="120" w:before="280"/>
        <w:outlineLvl w:val="0"/>
      </w:pPr>
      <w:r>
        <w:rPr>
          <w:rFonts w:ascii="Calibri" w:cs="Calibri" w:eastAsia="Calibri" w:hAnsi="Calibri"/>
          <w:b/>
          <w:bCs/>
          <w:color w:val="14161B"/>
          <w:sz w:val="22"/>
          <w:szCs w:val="22"/>
        </w:rPr>
        <w:t xml:space="preserve">2. NOMINATION FOR THE PROVIDENT FUND ACCUMULATION</w:t>
      </w:r>
    </w:p>
    <w:p>
      <w:pPr>
        <w:spacing w:after="120" w:before="0" w:line="276"/>
        <w:jc w:val="both"/>
      </w:pPr>
      <w:r>
        <w:rPr>
          <w:rFonts w:ascii="Calibri" w:cs="Calibri" w:eastAsia="Calibri" w:hAnsi="Calibri"/>
          <w:sz w:val="21"/>
          <w:szCs w:val="21"/>
        </w:rPr>
        <w:t xml:space="preserve">I nominate the person or persons named below to receive the amount standing to my credit in the provident fund in the event of my death, and direct that it be paid in the shares stated.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638"/>
        <w:gridCol w:w="2120"/>
        <w:gridCol w:w="1252"/>
        <w:gridCol w:w="1060"/>
        <w:gridCol w:w="963"/>
        <w:gridCol w:w="2220"/>
      </w:tblGrid>
      <w:tr>
        <w:trPr>
          <w:tblHeader/>
        </w:trPr>
        <w:tc>
          <w:tcPr>
            <w:tcW w:type="dxa" w:w="38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of nominee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Address</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Relationship</w:t>
            </w:r>
          </w:p>
        </w:tc>
        <w:tc>
          <w:tcPr>
            <w:tcW w:type="dxa" w:w="1060"/>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 of birth</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Share (%)</w:t>
            </w:r>
          </w:p>
        </w:tc>
        <w:tc>
          <w:tcPr>
            <w:tcW w:type="dxa" w:w="22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Guardian, where the nominee is a minor</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[ADDRESS]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[RELATIONSHIP]</w:t>
            </w:r>
          </w:p>
        </w:tc>
        <w:tc>
          <w:tcPr>
            <w:tcW w:type="dxa" w:w="1060"/>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AND ADDRESS]</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[ADDRESS]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[RELATIONSHIP]</w:t>
            </w:r>
          </w:p>
        </w:tc>
        <w:tc>
          <w:tcPr>
            <w:tcW w:type="dxa" w:w="1060"/>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AND ADDRESS]</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[ADDRESS]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[RELATIONSHIP]</w:t>
            </w:r>
          </w:p>
        </w:tc>
        <w:tc>
          <w:tcPr>
            <w:tcW w:type="dxa" w:w="1060"/>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AND ADDRESS]</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[ADDRESS]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[RELATIONSHIP]</w:t>
            </w:r>
          </w:p>
        </w:tc>
        <w:tc>
          <w:tcPr>
            <w:tcW w:type="dxa" w:w="1060"/>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AND ADDRESS]</w:t>
            </w:r>
          </w:p>
        </w:tc>
      </w:tr>
      <w:tr>
        <w:tc>
          <w:tcPr>
            <w:tcW w:type="dxa" w:w="385"/>
            <w:tcMar>
              <w:top w:type="dxa" w:w="70"/>
              <w:left w:type="dxa" w:w="100"/>
              <w:bottom w:type="dxa" w:w="70"/>
              <w:right w:type="dxa" w:w="100"/>
            </w:tcMar>
            <w:vAlign w:val="center"/>
          </w:tcPr>
          <w:p>
            <w:pPr>
              <w:spacing w:after="0" w:line="240"/>
              <w:jc w:val="center"/>
            </w:pP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w:t>
            </w:r>
          </w:p>
        </w:tc>
        <w:tc>
          <w:tcPr>
            <w:tcW w:type="dxa" w:w="2120"/>
            <w:tcMar>
              <w:top w:type="dxa" w:w="70"/>
              <w:left w:type="dxa" w:w="100"/>
              <w:bottom w:type="dxa" w:w="70"/>
              <w:right w:type="dxa" w:w="100"/>
            </w:tcMar>
            <w:vAlign w:val="center"/>
          </w:tcPr>
          <w:p>
            <w:pPr>
              <w:spacing w:after="0" w:line="240"/>
              <w:jc w:val="left"/>
            </w:pPr>
          </w:p>
        </w:tc>
        <w:tc>
          <w:tcPr>
            <w:tcW w:type="dxa" w:w="1252"/>
            <w:tcMar>
              <w:top w:type="dxa" w:w="70"/>
              <w:left w:type="dxa" w:w="100"/>
              <w:bottom w:type="dxa" w:w="70"/>
              <w:right w:type="dxa" w:w="100"/>
            </w:tcMar>
            <w:vAlign w:val="center"/>
          </w:tcPr>
          <w:p>
            <w:pPr>
              <w:spacing w:after="0" w:line="240"/>
              <w:jc w:val="left"/>
            </w:pPr>
          </w:p>
        </w:tc>
        <w:tc>
          <w:tcPr>
            <w:tcW w:type="dxa" w:w="1060"/>
            <w:tcMar>
              <w:top w:type="dxa" w:w="70"/>
              <w:left w:type="dxa" w:w="100"/>
              <w:bottom w:type="dxa" w:w="70"/>
              <w:right w:type="dxa" w:w="100"/>
            </w:tcMar>
            <w:vAlign w:val="center"/>
          </w:tcPr>
          <w:p>
            <w:pPr>
              <w:spacing w:after="0" w:line="240"/>
              <w:jc w:val="center"/>
            </w:pP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100%</w:t>
            </w:r>
          </w:p>
        </w:tc>
        <w:tc>
          <w:tcPr>
            <w:tcW w:type="dxa" w:w="2220"/>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[Where the member has a family]</w:t>
      </w:r>
      <w:r>
        <w:rPr>
          <w:rFonts w:ascii="Calibri" w:cs="Calibri" w:eastAsia="Calibri" w:hAnsi="Calibri"/>
          <w:sz w:val="21"/>
          <w:szCs w:val="21"/>
        </w:rPr>
        <w:t xml:space="preserve"> I certify that the persons nominated above are members of my family within the meaning of the scheme.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[Where the member has no family]</w:t>
      </w:r>
      <w:r>
        <w:rPr>
          <w:rFonts w:ascii="Calibri" w:cs="Calibri" w:eastAsia="Calibri" w:hAnsi="Calibri"/>
          <w:sz w:val="21"/>
          <w:szCs w:val="21"/>
        </w:rPr>
        <w:t xml:space="preserve"> I certify that I have </w:t>
      </w:r>
      <w:r>
        <w:rPr>
          <w:rFonts w:ascii="Calibri" w:cs="Calibri" w:eastAsia="Calibri" w:hAnsi="Calibri"/>
          <w:b/>
          <w:bCs/>
          <w:sz w:val="21"/>
          <w:szCs w:val="21"/>
        </w:rPr>
        <w:t xml:space="preserve">no family</w:t>
      </w:r>
      <w:r>
        <w:rPr>
          <w:rFonts w:ascii="Calibri" w:cs="Calibri" w:eastAsia="Calibri" w:hAnsi="Calibri"/>
          <w:sz w:val="21"/>
          <w:szCs w:val="21"/>
        </w:rPr>
        <w:t xml:space="preserve"> within the meaning of the scheme, and I understand that this nomination becomes </w:t>
      </w:r>
      <w:r>
        <w:rPr>
          <w:rFonts w:ascii="Calibri" w:cs="Calibri" w:eastAsia="Calibri" w:hAnsi="Calibri"/>
          <w:b/>
          <w:bCs/>
          <w:sz w:val="21"/>
          <w:szCs w:val="21"/>
        </w:rPr>
        <w:t xml:space="preserve">invalid</w:t>
      </w:r>
      <w:r>
        <w:rPr>
          <w:rFonts w:ascii="Calibri" w:cs="Calibri" w:eastAsia="Calibri" w:hAnsi="Calibri"/>
          <w:sz w:val="21"/>
          <w:szCs w:val="21"/>
        </w:rPr>
        <w:t xml:space="preserve"> if I subsequently acquire a family, and that I must then make a fresh nomination in favour of a member of my family.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I understand that a nomination in favour of a person who is not a member of my family is invalid where I have a family at the time of nomination.</w:t>
      </w:r>
    </w:p>
    <w:p>
      <w:pPr>
        <w:keepNext/>
        <w:spacing w:after="120" w:before="280"/>
        <w:outlineLvl w:val="0"/>
      </w:pPr>
      <w:r>
        <w:rPr>
          <w:rFonts w:ascii="Calibri" w:cs="Calibri" w:eastAsia="Calibri" w:hAnsi="Calibri"/>
          <w:b/>
          <w:bCs/>
          <w:color w:val="14161B"/>
          <w:sz w:val="22"/>
          <w:szCs w:val="22"/>
        </w:rPr>
        <w:t xml:space="preserve">3. PARTICULARS OF FAMILY FOR THE PENSION ENTITLEMENT</w:t>
      </w:r>
    </w:p>
    <w:p>
      <w:pPr>
        <w:spacing w:after="120" w:before="0" w:line="276"/>
        <w:jc w:val="both"/>
      </w:pPr>
      <w:r>
        <w:rPr>
          <w:rFonts w:ascii="Calibri" w:cs="Calibri" w:eastAsia="Calibri" w:hAnsi="Calibri"/>
          <w:i/>
          <w:iCs/>
          <w:sz w:val="21"/>
          <w:szCs w:val="21"/>
        </w:rPr>
        <w:t xml:space="preserve">The pension entitlement follows the family members the scheme recognises, in the order it prescribes. This part is a declaration of family, not a free choice of beneficiary.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2602"/>
        <w:gridCol w:w="1638"/>
        <w:gridCol w:w="1349"/>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of family member</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 of birth</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[Spouse]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[Son / Daughter]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[Son / Daughter]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[Where the member has no family]</w:t>
      </w:r>
      <w:r>
        <w:rPr>
          <w:rFonts w:ascii="Calibri" w:cs="Calibri" w:eastAsia="Calibri" w:hAnsi="Calibri"/>
          <w:sz w:val="21"/>
          <w:szCs w:val="21"/>
        </w:rPr>
        <w:t xml:space="preserve"> I certify that I have no family as defined in the pension scheme, and I nominate the following person to receive the benefit payable under that scheme: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[RELATIONSHIP]</w:t>
      </w:r>
      <w:r>
        <w:rPr>
          <w:rFonts w:ascii="Calibri" w:cs="Calibri" w:eastAsia="Calibri" w:hAnsi="Calibri"/>
          <w:sz w:val="21"/>
          <w:szCs w:val="21"/>
        </w:rPr>
        <w:t xml:space="preserve">, </w:t>
      </w:r>
      <w:r>
        <w:rPr>
          <w:rFonts w:ascii="Calibri" w:cs="Calibri" w:eastAsia="Calibri" w:hAnsi="Calibri"/>
          <w:b/>
          <w:bCs/>
          <w:sz w:val="21"/>
          <w:szCs w:val="21"/>
        </w:rPr>
        <w:t xml:space="preserve">[ADDRESS]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I undertake to inform the Company promptly of any change in my family, including marriage, the birth or adoption of a child, or a death, and to submit a revised declaration.</w:t>
      </w:r>
    </w:p>
    <w:p>
      <w:pPr>
        <w:keepNext/>
        <w:spacing w:after="120" w:before="280"/>
        <w:outlineLvl w:val="0"/>
      </w:pPr>
      <w:r>
        <w:rPr>
          <w:rFonts w:ascii="Calibri" w:cs="Calibri" w:eastAsia="Calibri" w:hAnsi="Calibri"/>
          <w:b/>
          <w:bCs/>
          <w:color w:val="14161B"/>
          <w:sz w:val="22"/>
          <w:szCs w:val="22"/>
        </w:rPr>
        <w:t xml:space="preserve">4. PREVIOUS EMPLOYMENT</w:t>
      </w:r>
    </w:p>
    <w:p>
      <w:pPr>
        <w:spacing w:after="120" w:before="0" w:line="276"/>
        <w:jc w:val="both"/>
      </w:pPr>
      <w:r>
        <w:rPr>
          <w:rFonts w:ascii="Calibri" w:cs="Calibri" w:eastAsia="Calibri" w:hAnsi="Calibri"/>
          <w:i/>
          <w:iCs/>
          <w:sz w:val="21"/>
          <w:szCs w:val="21"/>
        </w:rPr>
        <w:t xml:space="preserve">Complete so that the previous provident fund account can be transferred rather than left dormant.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Previously employed and a member of the provident fund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employer name and address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establishment code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provident fund account number</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 already allotted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______ / No]</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 previous employment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leaving previous employment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withdrawal already made from the previous account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transfer of the previous accumulation is requested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a pension certificate was issued on leaving</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number ______ / No]</w:t>
            </w:r>
          </w:p>
        </w:tc>
      </w:tr>
    </w:tbl>
    <w:p>
      <w:pPr>
        <w:spacing w:after="160"/>
      </w:pPr>
    </w:p>
    <w:p>
      <w:pPr>
        <w:keepNext/>
        <w:spacing w:after="120" w:before="280"/>
        <w:outlineLvl w:val="0"/>
      </w:pPr>
      <w:r>
        <w:rPr>
          <w:rFonts w:ascii="Calibri" w:cs="Calibri" w:eastAsia="Calibri" w:hAnsi="Calibri"/>
          <w:b/>
          <w:bCs/>
          <w:color w:val="14161B"/>
          <w:sz w:val="22"/>
          <w:szCs w:val="22"/>
        </w:rPr>
        <w:t xml:space="preserve">5. DECLARATION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particulars given above are true to the best of my knowledge and belief.</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I understand that this nomination cancels any nomination previously made by me in respect of the provident fund.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I authorise the Company to make the contributions and deductions required by the scheme and to submit the particulars given above to the authorities administering it.</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[MEMBER NAME]</w:t>
            </w:r>
          </w:p>
          <w:p>
            <w:pPr>
              <w:spacing w:after="90" w:line="264"/>
            </w:pPr>
            <w:r>
              <w:rPr>
                <w:rFonts w:ascii="Calibri" w:cs="Calibri" w:eastAsia="Calibri" w:hAnsi="Calibri"/>
                <w:sz w:val="21"/>
                <w:szCs w:val="21"/>
              </w:rPr>
              <w:t xml:space="preserve">UAN: </w:t>
            </w:r>
            <w:r>
              <w:rPr>
                <w:rFonts w:ascii="Calibri" w:cs="Calibri" w:eastAsia="Calibri" w:hAnsi="Calibri"/>
                <w:b/>
                <w:bCs/>
                <w:sz w:val="21"/>
                <w:szCs w:val="21"/>
              </w:rPr>
              <w:t xml:space="preserve">[UAN]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and address: </w:t>
            </w:r>
            <w:r>
              <w:rPr>
                <w:rFonts w:ascii="Calibri" w:cs="Calibri" w:eastAsia="Calibri" w:hAnsi="Calibri"/>
                <w:b/>
                <w:bCs/>
                <w:sz w:val="21"/>
                <w:szCs w:val="21"/>
              </w:rPr>
              <w:t xml:space="preserve">[DETAILS]</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FOR EMPLOYER USE</w:t>
      </w:r>
    </w:p>
    <w:p>
      <w:pPr>
        <w:spacing w:after="160" w:before="0" w:line="276"/>
        <w:jc w:val="both"/>
      </w:pPr>
      <w:r>
        <w:rPr>
          <w:rFonts w:ascii="Calibri" w:cs="Calibri" w:eastAsia="Calibri" w:hAnsi="Calibri"/>
          <w:sz w:val="21"/>
          <w:szCs w:val="21"/>
        </w:rPr>
        <w:t xml:space="preserve">Certified that the above declaration and nomination have been signed by </w:t>
      </w:r>
      <w:r>
        <w:rPr>
          <w:rFonts w:ascii="Calibri" w:cs="Calibri" w:eastAsia="Calibri" w:hAnsi="Calibri"/>
          <w:b/>
          <w:bCs/>
          <w:sz w:val="21"/>
          <w:szCs w:val="21"/>
        </w:rPr>
        <w:t xml:space="preserve">[MEMBER NAME]</w:t>
      </w:r>
      <w:r>
        <w:rPr>
          <w:rFonts w:ascii="Calibri" w:cs="Calibri" w:eastAsia="Calibri" w:hAnsi="Calibri"/>
          <w:sz w:val="21"/>
          <w:szCs w:val="21"/>
        </w:rPr>
        <w:t xml:space="preserve">, who is employed in this establishment, before me, and that the particulars have been verified against the records of the establishment.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4048"/>
      </w:tblGrid>
      <w:tr>
        <w:trPr>
          <w:tblHeader/>
        </w:trPr>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40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receipt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Nomination register serial number</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provident fund nominees are family members, or a no-family declaration is made</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shares total 100 per cent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guardian named for any minor nominee</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Part 3 completed, not only Part 2</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previous account details obtained and transfer initiated where applicable</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 linked to this establishment on</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Received and certified by</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Original filed at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Acknowledged copy given to the member on</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Establishment seal, where used</w:t>
            </w:r>
          </w:p>
          <w:p>
            <w:pPr>
              <w:spacing w:after="90" w:line="264"/>
            </w:pPr>
          </w:p>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nominations, two different rules</w:t>
      </w:r>
    </w:p>
    <w:p>
      <w:pPr>
        <w:spacing w:after="60" w:line="264"/>
        <w:jc w:val="both"/>
      </w:pPr>
      <w:r>
        <w:rPr>
          <w:rFonts w:ascii="Calibri" w:cs="Calibri" w:eastAsia="Calibri" w:hAnsi="Calibri"/>
          <w:sz w:val="19"/>
          <w:szCs w:val="19"/>
        </w:rPr>
        <w:t xml:space="preserve">The provident fund nomination lets the member choose family members and fix their shares. The pension entitlement follows the family members the scheme recognises, in the order it prescribes, and is not a free choice. Part 3 is a declaration of family rather than a nomination, and it is the part most often left blank because members assume Part 2 covers everything.</w:t>
      </w:r>
    </w:p>
    <w:p>
      <w:pPr>
        <w:keepNext/>
        <w:spacing w:after="40" w:before="140"/>
      </w:pPr>
      <w:r>
        <w:rPr>
          <w:rFonts w:ascii="Calibri" w:cs="Calibri" w:eastAsia="Calibri" w:hAnsi="Calibri"/>
          <w:b/>
          <w:bCs/>
          <w:color w:val="14161B"/>
          <w:sz w:val="20"/>
          <w:szCs w:val="20"/>
        </w:rPr>
        <w:t xml:space="preserve">Nomination outside the family is invalid where a family exists</w:t>
      </w:r>
    </w:p>
    <w:p>
      <w:pPr>
        <w:spacing w:after="60" w:line="264"/>
        <w:jc w:val="both"/>
      </w:pPr>
      <w:r>
        <w:rPr>
          <w:rFonts w:ascii="Calibri" w:cs="Calibri" w:eastAsia="Calibri" w:hAnsi="Calibri"/>
          <w:sz w:val="19"/>
          <w:szCs w:val="19"/>
        </w:rPr>
        <w:t xml:space="preserve">A member with a family cannot nominate someone outside it for the provident fund; such a nomination is invalid. A member with no family may nominate any person, but that nomination becomes invalid the moment a family is acquired. Clause 2.2 records the position; the practical consequence is that a nomination made by a single employee must be refreshed on marriage.</w:t>
      </w:r>
    </w:p>
    <w:p>
      <w:pPr>
        <w:keepNext/>
        <w:spacing w:after="40" w:before="140"/>
      </w:pPr>
      <w:r>
        <w:rPr>
          <w:rFonts w:ascii="Calibri" w:cs="Calibri" w:eastAsia="Calibri" w:hAnsi="Calibri"/>
          <w:b/>
          <w:bCs/>
          <w:color w:val="14161B"/>
          <w:sz w:val="20"/>
          <w:szCs w:val="20"/>
        </w:rPr>
        <w:t xml:space="preserve">Refresh on marriage, birth and death</w:t>
      </w:r>
    </w:p>
    <w:p>
      <w:pPr>
        <w:spacing w:after="60" w:line="264"/>
        <w:jc w:val="both"/>
      </w:pPr>
      <w:r>
        <w:rPr>
          <w:rFonts w:ascii="Calibri" w:cs="Calibri" w:eastAsia="Calibri" w:hAnsi="Calibri"/>
          <w:sz w:val="19"/>
          <w:szCs w:val="19"/>
        </w:rPr>
        <w:t xml:space="preserve">Build a trigger into the human resources process for any change in marital status, the birth or adoption of a child, or the death of a nominee. An annual reminder to all employees to review nominations costs nothing and prevents the situation where a family has to establish succession at the worst possible time.</w:t>
      </w:r>
    </w:p>
    <w:p>
      <w:pPr>
        <w:keepNext/>
        <w:spacing w:after="40" w:before="140"/>
      </w:pPr>
      <w:r>
        <w:rPr>
          <w:rFonts w:ascii="Calibri" w:cs="Calibri" w:eastAsia="Calibri" w:hAnsi="Calibri"/>
          <w:b/>
          <w:bCs/>
          <w:color w:val="14161B"/>
          <w:sz w:val="20"/>
          <w:szCs w:val="20"/>
        </w:rPr>
        <w:t xml:space="preserve">Collect all nominations together</w:t>
      </w:r>
    </w:p>
    <w:p>
      <w:pPr>
        <w:spacing w:after="60" w:line="264"/>
        <w:jc w:val="both"/>
      </w:pPr>
      <w:r>
        <w:rPr>
          <w:rFonts w:ascii="Calibri" w:cs="Calibri" w:eastAsia="Calibri" w:hAnsi="Calibri"/>
          <w:sz w:val="19"/>
          <w:szCs w:val="19"/>
        </w:rPr>
        <w:t xml:space="preserve">Provident fund, pension, gratuity, employees’ state insurance where applicable, and any group insurance each have separate nominations that are not interchangeable. Collect them as a single pack at induction so that a family is not left chasing several different forms after a death.</w:t>
      </w:r>
    </w:p>
    <w:p>
      <w:pPr>
        <w:keepNext/>
        <w:spacing w:after="40" w:before="140"/>
      </w:pPr>
      <w:r>
        <w:rPr>
          <w:rFonts w:ascii="Calibri" w:cs="Calibri" w:eastAsia="Calibri" w:hAnsi="Calibri"/>
          <w:b/>
          <w:bCs/>
          <w:color w:val="14161B"/>
          <w:sz w:val="20"/>
          <w:szCs w:val="20"/>
        </w:rPr>
        <w:t xml:space="preserve">Transfer the previous account, do not leave it dormant</w:t>
      </w:r>
    </w:p>
    <w:p>
      <w:pPr>
        <w:spacing w:after="60" w:line="264"/>
        <w:jc w:val="both"/>
      </w:pPr>
      <w:r>
        <w:rPr>
          <w:rFonts w:ascii="Calibri" w:cs="Calibri" w:eastAsia="Calibri" w:hAnsi="Calibri"/>
          <w:sz w:val="19"/>
          <w:szCs w:val="19"/>
        </w:rPr>
        <w:t xml:space="preserve">Part 4 exists so that a member’s earlier accumulation is transferred rather than abandoned. Employees frequently leave money in accounts with former employers, lose continuity of service for pension purposes, and then face a difficult reconstruction years later. Where a universal account number already exists, it should be linked rather than a new one generated — duplicate numbers are a persistent and avoidable problem.</w:t>
      </w:r>
    </w:p>
    <w:p>
      <w:pPr>
        <w:keepNext/>
        <w:spacing w:after="40" w:before="140"/>
      </w:pPr>
      <w:r>
        <w:rPr>
          <w:rFonts w:ascii="Calibri" w:cs="Calibri" w:eastAsia="Calibri" w:hAnsi="Calibri"/>
          <w:b/>
          <w:bCs/>
          <w:color w:val="14161B"/>
          <w:sz w:val="20"/>
          <w:szCs w:val="20"/>
        </w:rPr>
        <w:t xml:space="preserve">Continuity of service matters for pension</w:t>
      </w:r>
    </w:p>
    <w:p>
      <w:pPr>
        <w:spacing w:after="60" w:line="264"/>
        <w:jc w:val="both"/>
      </w:pPr>
      <w:r>
        <w:rPr>
          <w:rFonts w:ascii="Calibri" w:cs="Calibri" w:eastAsia="Calibri" w:hAnsi="Calibri"/>
          <w:sz w:val="19"/>
          <w:szCs w:val="19"/>
        </w:rPr>
        <w:t xml:space="preserve">Service under successive employers counts towards the pension entitlement only if the accounts are properly transferred and the records linked. An employee who withdraws at each change of job breaks that continuity. Where a member asks about withdrawing, make sure they understand the effect on pension eligibility before they do it.</w:t>
      </w:r>
    </w:p>
    <w:p>
      <w:pPr>
        <w:keepNext/>
        <w:spacing w:after="40" w:before="140"/>
      </w:pPr>
      <w:r>
        <w:rPr>
          <w:rFonts w:ascii="Calibri" w:cs="Calibri" w:eastAsia="Calibri" w:hAnsi="Calibri"/>
          <w:b/>
          <w:bCs/>
          <w:color w:val="14161B"/>
          <w:sz w:val="20"/>
          <w:szCs w:val="20"/>
        </w:rPr>
        <w:t xml:space="preserve">Contributions follow wages as statutorily defined</w:t>
      </w:r>
    </w:p>
    <w:p>
      <w:pPr>
        <w:spacing w:after="60" w:line="264"/>
        <w:jc w:val="both"/>
      </w:pPr>
      <w:r>
        <w:rPr>
          <w:rFonts w:ascii="Calibri" w:cs="Calibri" w:eastAsia="Calibri" w:hAnsi="Calibri"/>
          <w:sz w:val="19"/>
          <w:szCs w:val="19"/>
        </w:rPr>
        <w:t xml:space="preserve">Contributions are computed on wages as the consolidated legislation defines them, with excluded components capped at half of total remuneration. A structure built on a small basic and a large special allowance understates the contribution base. Where a structure is corrected, expect the contribution to rise and explain the effect on take-home pay before the change is implemented.</w:t>
      </w:r>
    </w:p>
    <w:p>
      <w:pPr>
        <w:keepNext/>
        <w:spacing w:after="40" w:before="140"/>
      </w:pPr>
      <w:r>
        <w:rPr>
          <w:rFonts w:ascii="Calibri" w:cs="Calibri" w:eastAsia="Calibri" w:hAnsi="Calibri"/>
          <w:b/>
          <w:bCs/>
          <w:color w:val="14161B"/>
          <w:sz w:val="20"/>
          <w:szCs w:val="20"/>
        </w:rPr>
        <w:t xml:space="preserve">Employer obligations run from the first day</w:t>
      </w:r>
    </w:p>
    <w:p>
      <w:pPr>
        <w:spacing w:after="60" w:line="264"/>
        <w:jc w:val="both"/>
      </w:pPr>
      <w:r>
        <w:rPr>
          <w:rFonts w:ascii="Calibri" w:cs="Calibri" w:eastAsia="Calibri" w:hAnsi="Calibri"/>
          <w:sz w:val="19"/>
          <w:szCs w:val="19"/>
        </w:rPr>
        <w:t xml:space="preserve">Enrolment, contribution and filing obligations arise from the date the employee becomes eligible, not from the date the form is filed. A backlog of unsubmitted nominations does not delay the obligation to contribute. Deposit contributions within the prescribed period; interest and damages accrue on delay and are recovered from the employer.</w:t>
      </w:r>
    </w:p>
    <w:p>
      <w:pPr>
        <w:keepNext/>
        <w:spacing w:after="40" w:before="140"/>
      </w:pPr>
      <w:r>
        <w:rPr>
          <w:rFonts w:ascii="Calibri" w:cs="Calibri" w:eastAsia="Calibri" w:hAnsi="Calibri"/>
          <w:b/>
          <w:bCs/>
          <w:color w:val="14161B"/>
          <w:sz w:val="20"/>
          <w:szCs w:val="20"/>
        </w:rPr>
        <w:t xml:space="preserve">Name a guardian for minors</w:t>
      </w:r>
    </w:p>
    <w:p>
      <w:pPr>
        <w:spacing w:after="60" w:line="264"/>
        <w:jc w:val="both"/>
      </w:pPr>
      <w:r>
        <w:rPr>
          <w:rFonts w:ascii="Calibri" w:cs="Calibri" w:eastAsia="Calibri" w:hAnsi="Calibri"/>
          <w:sz w:val="19"/>
          <w:szCs w:val="19"/>
        </w:rPr>
        <w:t xml:space="preserve">Where a nominee is a minor, name a guardian on the form. Without it, the administration of the payment to a minor becomes considerably more difficult for the family. Prompt for this when the form is received; it is routinely left blank.</w:t>
      </w:r>
    </w:p>
    <w:p>
      <w:pPr>
        <w:keepNext/>
        <w:spacing w:after="40" w:before="140"/>
      </w:pPr>
      <w:r>
        <w:rPr>
          <w:rFonts w:ascii="Calibri" w:cs="Calibri" w:eastAsia="Calibri" w:hAnsi="Calibri"/>
          <w:b/>
          <w:bCs/>
          <w:color w:val="14161B"/>
          <w:sz w:val="20"/>
          <w:szCs w:val="20"/>
        </w:rPr>
        <w:t xml:space="preserve">Check the arithmetic</w:t>
      </w:r>
    </w:p>
    <w:p>
      <w:pPr>
        <w:spacing w:after="60" w:line="264"/>
        <w:jc w:val="both"/>
      </w:pPr>
      <w:r>
        <w:rPr>
          <w:rFonts w:ascii="Calibri" w:cs="Calibri" w:eastAsia="Calibri" w:hAnsi="Calibri"/>
          <w:sz w:val="19"/>
          <w:szCs w:val="19"/>
        </w:rPr>
        <w:t xml:space="preserve">Shares must total one hundred per cent. The employer acknowledgement includes the check because forms with shares totalling ninety or a hundred and ten are common and leave the balance to be argued about.</w:t>
      </w:r>
    </w:p>
    <w:p>
      <w:pPr>
        <w:keepNext/>
        <w:spacing w:after="40" w:before="140"/>
      </w:pPr>
      <w:r>
        <w:rPr>
          <w:rFonts w:ascii="Calibri" w:cs="Calibri" w:eastAsia="Calibri" w:hAnsi="Calibri"/>
          <w:b/>
          <w:bCs/>
          <w:color w:val="14161B"/>
          <w:sz w:val="20"/>
          <w:szCs w:val="20"/>
        </w:rPr>
        <w:t xml:space="preserve">Keep the original and give the member a copy</w:t>
      </w:r>
    </w:p>
    <w:p>
      <w:pPr>
        <w:spacing w:after="60" w:line="264"/>
        <w:jc w:val="both"/>
      </w:pPr>
      <w:r>
        <w:rPr>
          <w:rFonts w:ascii="Calibri" w:cs="Calibri" w:eastAsia="Calibri" w:hAnsi="Calibri"/>
          <w:sz w:val="19"/>
          <w:szCs w:val="19"/>
        </w:rPr>
        <w:t xml:space="preserve">Record each nomination in a register with a serial number, file the original securely, and return an acknowledged copy to the member. Retain for the whole period of employment and for the retention period afterwards; do not destroy on a general schedule.</w:t>
      </w:r>
    </w:p>
    <w:p>
      <w:pPr>
        <w:keepNext/>
        <w:spacing w:after="40" w:before="140"/>
      </w:pPr>
      <w:r>
        <w:rPr>
          <w:rFonts w:ascii="Calibri" w:cs="Calibri" w:eastAsia="Calibri" w:hAnsi="Calibri"/>
          <w:b/>
          <w:bCs/>
          <w:color w:val="14161B"/>
          <w:sz w:val="20"/>
          <w:szCs w:val="20"/>
        </w:rPr>
        <w:t xml:space="preserve">Use the prescribed form where one is prescribed</w:t>
      </w:r>
    </w:p>
    <w:p>
      <w:pPr>
        <w:spacing w:after="60" w:line="264"/>
        <w:jc w:val="both"/>
      </w:pPr>
      <w:r>
        <w:rPr>
          <w:rFonts w:ascii="Calibri" w:cs="Calibri" w:eastAsia="Calibri" w:hAnsi="Calibri"/>
          <w:sz w:val="19"/>
          <w:szCs w:val="19"/>
        </w:rPr>
        <w:t xml:space="preserve">This template captures the substance required. Where the scheme prescribes a form, or where the process is conducted through the online portal, use the prescribed form or the portal and keep this as the internal record and checklist.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Prescribed forms, the definition of family, wage ceilings, contribution rates and the mechanics of universal account numbers and transfers all change — confirm the current position with a payroll specialist before adopting this form.</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2026-08-21T12:53:55.340Z</dcterms:created>
  <dcterms:modified xsi:type="dcterms:W3CDTF">2026-08-21T12:53:55.340Z</dcterms:modified>
</cp:coreProperties>
</file>

<file path=docProps/custom.xml><?xml version="1.0" encoding="utf-8"?>
<Properties xmlns="http://schemas.openxmlformats.org/officeDocument/2006/custom-properties" xmlns:vt="http://schemas.openxmlformats.org/officeDocument/2006/docPropsVTypes"/>
</file>