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PROVIDENT FUND DECLARATION</w:t>
      </w:r>
    </w:p>
    <w:p>
      <w:pPr>
        <w:spacing w:after="260"/>
        <w:jc w:val="center"/>
      </w:pPr>
      <w:r>
        <w:rPr>
          <w:rFonts w:ascii="Calibri" w:cs="Calibri" w:eastAsia="Calibri" w:hAnsi="Calibri"/>
          <w:i/>
          <w:iCs/>
          <w:color w:val="6E7480"/>
          <w:sz w:val="19"/>
          <w:szCs w:val="19"/>
        </w:rPr>
        <w:t xml:space="preserve">Declaration by a person taking up employment</w:t>
      </w:r>
    </w:p>
    <w:p>
      <w:pPr>
        <w:spacing w:after="180" w:before="0" w:line="276"/>
        <w:jc w:val="both"/>
      </w:pPr>
      <w:r>
        <w:rPr>
          <w:rFonts w:ascii="Calibri" w:cs="Calibri" w:eastAsia="Calibri" w:hAnsi="Calibri"/>
          <w:i/>
          <w:iCs/>
          <w:color w:val="6E7480"/>
          <w:sz w:val="21"/>
          <w:szCs w:val="21"/>
        </w:rPr>
        <w:t xml:space="preserve">This declaration establishes whether the employee has been a member of the fund before. It determines whether an existing account is continued or a new one opened, whether the wage ceiling exemption applies, and whether past service counts towards pension. Collect it before the first salary is processed, not afterwards.</w:t>
      </w:r>
    </w:p>
    <w:p>
      <w:pPr>
        <w:spacing w:after="18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  Establishment code: </w:t>
      </w:r>
      <w:r>
        <w:rPr>
          <w:rFonts w:ascii="Calibri" w:cs="Calibri" w:eastAsia="Calibri" w:hAnsi="Calibri"/>
          <w:b/>
          <w:bCs/>
          <w:sz w:val="21"/>
          <w:szCs w:val="21"/>
        </w:rPr>
        <w:t xml:space="preserve">[CODE]</w:t>
      </w:r>
      <w:r>
        <w:rPr>
          <w:rFonts w:ascii="Calibri" w:cs="Calibri" w:eastAsia="Calibri" w:hAnsi="Calibri"/>
          <w:sz w:val="21"/>
          <w:szCs w:val="21"/>
        </w:rPr>
        <w:t xml:space="preserve">  </w:t>
      </w:r>
      <w:r>
        <w:rPr>
          <w:rFonts w:ascii="Calibri" w:cs="Calibri" w:eastAsia="Calibri" w:hAnsi="Calibri"/>
          <w:b/>
          <w:bCs/>
          <w:sz w:val="21"/>
          <w:szCs w:val="21"/>
        </w:rPr>
        <w:t xml:space="preserve">[ADDRESS]</w:t>
      </w:r>
    </w:p>
    <w:p>
      <w:pPr>
        <w:keepNext/>
        <w:spacing w:after="120" w:before="280"/>
        <w:outlineLvl w:val="0"/>
      </w:pPr>
      <w:r>
        <w:rPr>
          <w:rFonts w:ascii="Calibri" w:cs="Calibri" w:eastAsia="Calibri" w:hAnsi="Calibri"/>
          <w:b/>
          <w:bCs/>
          <w:color w:val="14161B"/>
          <w:sz w:val="22"/>
          <w:szCs w:val="22"/>
        </w:rPr>
        <w:t xml:space="preserve">1. PARTICULARS OF THE EMPLOYEE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 name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[Father’s / Spouse’s]</w:t>
            </w:r>
            <w:r>
              <w:rPr>
                <w:rFonts w:ascii="Calibri" w:cs="Calibri" w:eastAsia="Calibri" w:hAnsi="Calibri"/>
                <w:sz w:val="19"/>
                <w:szCs w:val="19"/>
              </w:rPr>
              <w:t xml:space="preserve"> name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Relationship</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[Father / Spouse]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birth</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Sex</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[MALE / FEMALE / OTHER]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Marital status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[Married / Unmarried / Widow / Widower / Divorced]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Mobile number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Email address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 this establishment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and department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r>
              <w:rPr>
                <w:rFonts w:ascii="Calibri" w:cs="Calibri" w:eastAsia="Calibri" w:hAnsi="Calibri"/>
                <w:sz w:val="19"/>
                <w:szCs w:val="19"/>
              </w:rPr>
              <w:t xml:space="preserve">, </w:t>
            </w:r>
            <w:r>
              <w:rPr>
                <w:rFonts w:ascii="Calibri" w:cs="Calibri" w:eastAsia="Calibri" w:hAnsi="Calibri"/>
                <w:b/>
                <w:bCs/>
                <w:sz w:val="19"/>
                <w:szCs w:val="19"/>
              </w:rPr>
              <w:t xml:space="preserve">[DEPARTMENT]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Monthly wages as statutorily defined at joining</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bl>
    <w:p>
      <w:pPr>
        <w:spacing w:after="160"/>
      </w:pPr>
    </w:p>
    <w:p>
      <w:pPr>
        <w:keepNext/>
        <w:spacing w:after="120" w:before="280"/>
        <w:outlineLvl w:val="0"/>
      </w:pPr>
      <w:r>
        <w:rPr>
          <w:rFonts w:ascii="Calibri" w:cs="Calibri" w:eastAsia="Calibri" w:hAnsi="Calibri"/>
          <w:b/>
          <w:bCs/>
          <w:color w:val="14161B"/>
          <w:sz w:val="22"/>
          <w:szCs w:val="22"/>
        </w:rPr>
        <w:t xml:space="preserve">2. PREVIOUS MEMBERSHIP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6939"/>
        <w:gridCol w:w="221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693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Question</w:t>
            </w:r>
          </w:p>
        </w:tc>
        <w:tc>
          <w:tcPr>
            <w:tcW w:type="dxa" w:w="221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Have you been a member of the Employees’ Provident Fund at any time before?</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Have you been a member of the Employees’ Pension Scheme at any time before?</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Has a Universal Account Number already been allotted to you?</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Have you withdrawn the full amount from your previous provident fund account?</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Have you withdrawn the full amount from your previous pension account?</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Were your monthly wages at the time of leaving your previous employment above the statutory wage ceiling?</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Have you been issued a scheme certificate in respect of past pensionable service?</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Are you an international worker?</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bl>
    <w:p>
      <w:pPr>
        <w:spacing w:after="160"/>
      </w:pPr>
    </w:p>
    <w:p>
      <w:pPr>
        <w:spacing w:after="120" w:before="0" w:line="276"/>
        <w:jc w:val="both"/>
      </w:pPr>
      <w:r>
        <w:rPr>
          <w:rFonts w:ascii="Calibri" w:cs="Calibri" w:eastAsia="Calibri" w:hAnsi="Calibri"/>
          <w:i/>
          <w:iCs/>
          <w:sz w:val="21"/>
          <w:szCs w:val="21"/>
        </w:rPr>
        <w:t xml:space="preserve">Complete section 3 only where the answer to question 1 or question 2 above is "Yes".</w:t>
      </w:r>
    </w:p>
    <w:p>
      <w:pPr>
        <w:keepNext/>
        <w:spacing w:after="120" w:before="280"/>
        <w:outlineLvl w:val="0"/>
      </w:pPr>
      <w:r>
        <w:rPr>
          <w:rFonts w:ascii="Calibri" w:cs="Calibri" w:eastAsia="Calibri" w:hAnsi="Calibri"/>
          <w:b/>
          <w:bCs/>
          <w:color w:val="14161B"/>
          <w:sz w:val="22"/>
          <w:szCs w:val="22"/>
        </w:rPr>
        <w:t xml:space="preserve">3. PREVIOUS EMPLOYMENT DETAILS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Universal Account Number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 provident fund account number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 establishment name and address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 establishment code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[CODE]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 previous employment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leaving previous employment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 certificate number, where issued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Pension payment order number, where any pension is drawn</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transfer of the previous accumulation is requested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bl>
    <w:p>
      <w:pPr>
        <w:spacing w:after="160"/>
      </w:pPr>
    </w:p>
    <w:p>
      <w:pPr>
        <w:keepNext/>
        <w:spacing w:after="120" w:before="280"/>
        <w:outlineLvl w:val="0"/>
      </w:pPr>
      <w:r>
        <w:rPr>
          <w:rFonts w:ascii="Calibri" w:cs="Calibri" w:eastAsia="Calibri" w:hAnsi="Calibri"/>
          <w:b/>
          <w:bCs/>
          <w:color w:val="14161B"/>
          <w:sz w:val="22"/>
          <w:szCs w:val="22"/>
        </w:rPr>
        <w:t xml:space="preserve">4. IDENTIFICATION AND BANK DETAILS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Aadhaar number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account number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and branch</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BRANCH]</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IFSC</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[CODE]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the bank account is seeded with the identification number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bl>
    <w:p>
      <w:pPr>
        <w:spacing w:after="160"/>
      </w:pPr>
    </w:p>
    <w:p>
      <w:pPr>
        <w:spacing w:after="120" w:before="0" w:line="276"/>
        <w:jc w:val="both"/>
      </w:pPr>
      <w:r>
        <w:rPr>
          <w:rFonts w:ascii="Calibri" w:cs="Calibri" w:eastAsia="Calibri" w:hAnsi="Calibri"/>
          <w:i/>
          <w:iCs/>
          <w:sz w:val="21"/>
          <w:szCs w:val="21"/>
        </w:rPr>
        <w:t xml:space="preserve">Complete section 5 only where the answer to question 8 in section 2 is "Yes".</w:t>
      </w:r>
    </w:p>
    <w:p>
      <w:pPr>
        <w:keepNext/>
        <w:spacing w:after="120" w:before="280"/>
        <w:outlineLvl w:val="0"/>
      </w:pPr>
      <w:r>
        <w:rPr>
          <w:rFonts w:ascii="Calibri" w:cs="Calibri" w:eastAsia="Calibri" w:hAnsi="Calibri"/>
          <w:b/>
          <w:bCs/>
          <w:color w:val="14161B"/>
          <w:sz w:val="22"/>
          <w:szCs w:val="22"/>
        </w:rPr>
        <w:t xml:space="preserve">5. INTERNATIONAL WORKER DETAILS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4819"/>
      </w:tblGrid>
      <w:tr>
        <w:trPr>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Country of origin</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[COUNTRY]</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Passport number</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Validity of passport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[FROM]</w:t>
            </w:r>
            <w:r>
              <w:rPr>
                <w:rFonts w:ascii="Calibri" w:cs="Calibri" w:eastAsia="Calibri" w:hAnsi="Calibri"/>
                <w:sz w:val="19"/>
                <w:szCs w:val="19"/>
              </w:rPr>
              <w:t xml:space="preserve"> to </w:t>
            </w:r>
            <w:r>
              <w:rPr>
                <w:rFonts w:ascii="Calibri" w:cs="Calibri" w:eastAsia="Calibri" w:hAnsi="Calibri"/>
                <w:b/>
                <w:bCs/>
                <w:sz w:val="19"/>
                <w:szCs w:val="19"/>
              </w:rPr>
              <w:t xml:space="preserve">[TO]</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from a country with which a social security agreement is in force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name the country]</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Certificate of coverage number, where held</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valid from </w:t>
            </w: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6. DECLARATION BY THE EMPLOYEE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particulars given above are true to the best of my knowledge and belief.</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I understand that furnishing incorrect particulars, in particular as to previous membership, may result in a duplicate account being created, in loss of continuity of pensionable service, and in delay in settlement of my claims.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I authorise the Company to make the contributions and deductions required by the scheme, to use the particulars given above for the purposes of enrolment and compliance, and to submit them to the authorities administering the scheme.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I undertake to inform the Company promptly of any change in the particulars given above.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7. FOR EMPLOYER USE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855"/>
        <w:gridCol w:w="2891"/>
        <w:gridCol w:w="1156"/>
        <w:gridCol w:w="125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Declaration received before the first salary was processed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Universal Account Number verified as existing, or newly generated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[Existing — ______ / Newly generated — ______]</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Universal Account Number linked to this establishment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Duplicate number check carried out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 — result]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of previous accumulation initiated, where requested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 — reference]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Nomination form collected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Wage base confirmed against the statutory definition of wages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 </w:t>
            </w:r>
            <w:r>
              <w:rPr>
                <w:rFonts w:ascii="Calibri" w:cs="Calibri" w:eastAsia="Calibri" w:hAnsi="Calibri"/>
                <w:b/>
                <w:bCs/>
                <w:sz w:val="18"/>
                <w:szCs w:val="18"/>
              </w:rPr>
              <w:t xml:space="preserve">[AMOUNT]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Contribution commenced from the date of joining</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Identification and bank details seeded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International worker treatment applied, where applicable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 / Not applicable]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Declaration filed and acknowledged copy given to the employee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bl>
    <w:p>
      <w:pPr>
        <w:spacing w:after="180"/>
      </w:pPr>
    </w:p>
    <w:p>
      <w:pPr>
        <w:spacing w:after="200" w:before="0" w:line="276"/>
        <w:jc w:val="both"/>
      </w:pPr>
      <w:r>
        <w:rPr>
          <w:rFonts w:ascii="Calibri" w:cs="Calibri" w:eastAsia="Calibri" w:hAnsi="Calibri"/>
          <w:sz w:val="21"/>
          <w:szCs w:val="21"/>
        </w:rPr>
        <w:t xml:space="preserve">Certified that the particulars given by the employee have been verified against the documents produced and against the records of the establishment, and that the employee has been enrolled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Establishment seal, where used</w:t>
            </w:r>
          </w:p>
          <w:p>
            <w:pPr>
              <w:spacing w:after="90" w:line="264"/>
            </w:pPr>
          </w:p>
          <w:p>
            <w:pPr>
              <w:spacing w:after="90" w:line="264"/>
            </w:pPr>
          </w:p>
          <w:p>
            <w:pPr>
              <w:spacing w:after="90" w:line="264"/>
            </w:pP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Collect it before the first payroll run</w:t>
      </w:r>
    </w:p>
    <w:p>
      <w:pPr>
        <w:spacing w:after="60" w:line="264"/>
        <w:jc w:val="both"/>
      </w:pPr>
      <w:r>
        <w:rPr>
          <w:rFonts w:ascii="Calibri" w:cs="Calibri" w:eastAsia="Calibri" w:hAnsi="Calibri"/>
          <w:sz w:val="19"/>
          <w:szCs w:val="19"/>
        </w:rPr>
        <w:t xml:space="preserve">The declaration determines whether an existing account is continued or a new one opened, and whether the employee falls within an exemption. Processing the first salary without it is how duplicate accounts are created, and a duplicate is far harder to merge later than it is to avoid at the outset.</w:t>
      </w:r>
    </w:p>
    <w:p>
      <w:pPr>
        <w:keepNext/>
        <w:spacing w:after="40" w:before="140"/>
      </w:pPr>
      <w:r>
        <w:rPr>
          <w:rFonts w:ascii="Calibri" w:cs="Calibri" w:eastAsia="Calibri" w:hAnsi="Calibri"/>
          <w:b/>
          <w:bCs/>
          <w:color w:val="14161B"/>
          <w:sz w:val="20"/>
          <w:szCs w:val="20"/>
        </w:rPr>
        <w:t xml:space="preserve">Duplicate account numbers are the recurring problem</w:t>
      </w:r>
    </w:p>
    <w:p>
      <w:pPr>
        <w:spacing w:after="60" w:line="264"/>
        <w:jc w:val="both"/>
      </w:pPr>
      <w:r>
        <w:rPr>
          <w:rFonts w:ascii="Calibri" w:cs="Calibri" w:eastAsia="Calibri" w:hAnsi="Calibri"/>
          <w:sz w:val="19"/>
          <w:szCs w:val="19"/>
        </w:rPr>
        <w:t xml:space="preserve">An employee who does not recall previous membership, or who answers question 1 carelessly, causes a second number to be generated. The consequences surface years later as a fragmented service record, a broken pension entitlement and a delayed settlement. Verify against the documents rather than accepting the answer, and run the duplicate check at step 4.</w:t>
      </w:r>
    </w:p>
    <w:p>
      <w:pPr>
        <w:keepNext/>
        <w:spacing w:after="40" w:before="140"/>
      </w:pPr>
      <w:r>
        <w:rPr>
          <w:rFonts w:ascii="Calibri" w:cs="Calibri" w:eastAsia="Calibri" w:hAnsi="Calibri"/>
          <w:b/>
          <w:bCs/>
          <w:color w:val="14161B"/>
          <w:sz w:val="20"/>
          <w:szCs w:val="20"/>
        </w:rPr>
        <w:t xml:space="preserve">Continuity of pensionable service depends on transfer</w:t>
      </w:r>
    </w:p>
    <w:p>
      <w:pPr>
        <w:spacing w:after="60" w:line="264"/>
        <w:jc w:val="both"/>
      </w:pPr>
      <w:r>
        <w:rPr>
          <w:rFonts w:ascii="Calibri" w:cs="Calibri" w:eastAsia="Calibri" w:hAnsi="Calibri"/>
          <w:sz w:val="19"/>
          <w:szCs w:val="19"/>
        </w:rPr>
        <w:t xml:space="preserve">Service under successive employers counts towards the pension entitlement only where accounts are transferred and records linked. An employee who withdraws in full at each job change breaks that continuity permanently. Where an employee has withdrawn, or is contemplating withdrawing, make sure they understand the effect before it happens — question 4 and question 5 are there to surface it.</w:t>
      </w:r>
    </w:p>
    <w:p>
      <w:pPr>
        <w:keepNext/>
        <w:spacing w:after="40" w:before="140"/>
      </w:pPr>
      <w:r>
        <w:rPr>
          <w:rFonts w:ascii="Calibri" w:cs="Calibri" w:eastAsia="Calibri" w:hAnsi="Calibri"/>
          <w:b/>
          <w:bCs/>
          <w:color w:val="14161B"/>
          <w:sz w:val="20"/>
          <w:szCs w:val="20"/>
        </w:rPr>
        <w:t xml:space="preserve">The wage ceiling exemption is narrow and easily lost</w:t>
      </w:r>
    </w:p>
    <w:p>
      <w:pPr>
        <w:spacing w:after="60" w:line="264"/>
        <w:jc w:val="both"/>
      </w:pPr>
      <w:r>
        <w:rPr>
          <w:rFonts w:ascii="Calibri" w:cs="Calibri" w:eastAsia="Calibri" w:hAnsi="Calibri"/>
          <w:sz w:val="19"/>
          <w:szCs w:val="19"/>
        </w:rPr>
        <w:t xml:space="preserve">A person joining for the first time whose wages exceed the statutory ceiling may fall outside mandatory coverage, but a person who has been a member before generally continues to be covered regardless of current wages. Question 6 combined with question 1 establishes which applies. Applying the exemption to someone with prior membership is a compliance failure that accrues quietly.</w:t>
      </w:r>
    </w:p>
    <w:p>
      <w:pPr>
        <w:keepNext/>
        <w:spacing w:after="40" w:before="140"/>
      </w:pPr>
      <w:r>
        <w:rPr>
          <w:rFonts w:ascii="Calibri" w:cs="Calibri" w:eastAsia="Calibri" w:hAnsi="Calibri"/>
          <w:b/>
          <w:bCs/>
          <w:color w:val="14161B"/>
          <w:sz w:val="20"/>
          <w:szCs w:val="20"/>
        </w:rPr>
        <w:t xml:space="preserve">Contributions run from the date of joining</w:t>
      </w:r>
    </w:p>
    <w:p>
      <w:pPr>
        <w:spacing w:after="60" w:line="264"/>
        <w:jc w:val="both"/>
      </w:pPr>
      <w:r>
        <w:rPr>
          <w:rFonts w:ascii="Calibri" w:cs="Calibri" w:eastAsia="Calibri" w:hAnsi="Calibri"/>
          <w:sz w:val="19"/>
          <w:szCs w:val="19"/>
        </w:rPr>
        <w:t xml:space="preserve">The obligation arises from the date the employee becomes eligible, not from the date the paperwork is completed. Where a declaration is collected late, contributions must still be deposited from the date of joining, and interest and damages accrue on delay. Do not let a missing form delay the contribution.</w:t>
      </w:r>
    </w:p>
    <w:p>
      <w:pPr>
        <w:keepNext/>
        <w:spacing w:after="40" w:before="140"/>
      </w:pPr>
      <w:r>
        <w:rPr>
          <w:rFonts w:ascii="Calibri" w:cs="Calibri" w:eastAsia="Calibri" w:hAnsi="Calibri"/>
          <w:b/>
          <w:bCs/>
          <w:color w:val="14161B"/>
          <w:sz w:val="20"/>
          <w:szCs w:val="20"/>
        </w:rPr>
        <w:t xml:space="preserve">Compute on wages as statutorily defined</w:t>
      </w:r>
    </w:p>
    <w:p>
      <w:pPr>
        <w:spacing w:after="60" w:line="264"/>
        <w:jc w:val="both"/>
      </w:pPr>
      <w:r>
        <w:rPr>
          <w:rFonts w:ascii="Calibri" w:cs="Calibri" w:eastAsia="Calibri" w:hAnsi="Calibri"/>
          <w:sz w:val="19"/>
          <w:szCs w:val="19"/>
        </w:rPr>
        <w:t xml:space="preserve">Contributions are computed on wages as the consolidated legislation defines them, with components excluded from wages capped at half of total remuneration. A structure with a small basic and a large special allowance understates the contribution base and creates an accruing liability. Step 7 requires the wage base to be confirmed against that definition, not taken from the offer letter.</w:t>
      </w:r>
    </w:p>
    <w:p>
      <w:pPr>
        <w:keepNext/>
        <w:spacing w:after="40" w:before="140"/>
      </w:pPr>
      <w:r>
        <w:rPr>
          <w:rFonts w:ascii="Calibri" w:cs="Calibri" w:eastAsia="Calibri" w:hAnsi="Calibri"/>
          <w:b/>
          <w:bCs/>
          <w:color w:val="14161B"/>
          <w:sz w:val="20"/>
          <w:szCs w:val="20"/>
        </w:rPr>
        <w:t xml:space="preserve">International workers are a distinct category</w:t>
      </w:r>
    </w:p>
    <w:p>
      <w:pPr>
        <w:spacing w:after="60" w:line="264"/>
        <w:jc w:val="both"/>
      </w:pPr>
      <w:r>
        <w:rPr>
          <w:rFonts w:ascii="Calibri" w:cs="Calibri" w:eastAsia="Calibri" w:hAnsi="Calibri"/>
          <w:sz w:val="19"/>
          <w:szCs w:val="19"/>
        </w:rPr>
        <w:t xml:space="preserve">An international worker is generally covered without regard to the wage ceiling, and different rules apply to withdrawal and to the period of contribution. Where a social security agreement is in force with the person’s home country and a certificate of coverage is held, contributions may be exempt for the period of the certificate. Section 5 collects what is needed; take advice before applying the exemption.</w:t>
      </w:r>
    </w:p>
    <w:p>
      <w:pPr>
        <w:keepNext/>
        <w:spacing w:after="40" w:before="140"/>
      </w:pPr>
      <w:r>
        <w:rPr>
          <w:rFonts w:ascii="Calibri" w:cs="Calibri" w:eastAsia="Calibri" w:hAnsi="Calibri"/>
          <w:b/>
          <w:bCs/>
          <w:color w:val="14161B"/>
          <w:sz w:val="20"/>
          <w:szCs w:val="20"/>
        </w:rPr>
        <w:t xml:space="preserve">Collect the nomination at the same time</w:t>
      </w:r>
    </w:p>
    <w:p>
      <w:pPr>
        <w:spacing w:after="60" w:line="264"/>
        <w:jc w:val="both"/>
      </w:pPr>
      <w:r>
        <w:rPr>
          <w:rFonts w:ascii="Calibri" w:cs="Calibri" w:eastAsia="Calibri" w:hAnsi="Calibri"/>
          <w:sz w:val="19"/>
          <w:szCs w:val="19"/>
        </w:rPr>
        <w:t xml:space="preserve">The declaration and the nomination are different forms and both are needed. Collecting one and not the other is common. Issue them as a single joining pack, along with the gratuity nomination, so the employee completes them once.</w:t>
      </w:r>
    </w:p>
    <w:p>
      <w:pPr>
        <w:keepNext/>
        <w:spacing w:after="40" w:before="140"/>
      </w:pPr>
      <w:r>
        <w:rPr>
          <w:rFonts w:ascii="Calibri" w:cs="Calibri" w:eastAsia="Calibri" w:hAnsi="Calibri"/>
          <w:b/>
          <w:bCs/>
          <w:color w:val="14161B"/>
          <w:sz w:val="20"/>
          <w:szCs w:val="20"/>
        </w:rPr>
        <w:t xml:space="preserve">Seed the identification and bank details</w:t>
      </w:r>
    </w:p>
    <w:p>
      <w:pPr>
        <w:spacing w:after="60" w:line="264"/>
        <w:jc w:val="both"/>
      </w:pPr>
      <w:r>
        <w:rPr>
          <w:rFonts w:ascii="Calibri" w:cs="Calibri" w:eastAsia="Calibri" w:hAnsi="Calibri"/>
          <w:sz w:val="19"/>
          <w:szCs w:val="19"/>
        </w:rPr>
        <w:t xml:space="preserve">Claims and transfers are processed against seeded identification and bank details. An account with unseeded or mismatched details produces a rejection at exactly the point the employee needs the money. Verify at joining rather than at exit.</w:t>
      </w:r>
    </w:p>
    <w:p>
      <w:pPr>
        <w:keepNext/>
        <w:spacing w:after="40" w:before="140"/>
      </w:pPr>
      <w:r>
        <w:rPr>
          <w:rFonts w:ascii="Calibri" w:cs="Calibri" w:eastAsia="Calibri" w:hAnsi="Calibri"/>
          <w:b/>
          <w:bCs/>
          <w:color w:val="14161B"/>
          <w:sz w:val="20"/>
          <w:szCs w:val="20"/>
        </w:rPr>
        <w:t xml:space="preserve">Update the exit date on separation</w:t>
      </w:r>
    </w:p>
    <w:p>
      <w:pPr>
        <w:spacing w:after="60" w:line="264"/>
        <w:jc w:val="both"/>
      </w:pPr>
      <w:r>
        <w:rPr>
          <w:rFonts w:ascii="Calibri" w:cs="Calibri" w:eastAsia="Calibri" w:hAnsi="Calibri"/>
          <w:sz w:val="19"/>
          <w:szCs w:val="19"/>
        </w:rPr>
        <w:t xml:space="preserve">The counterpart obligation at the other end of employment is to update the exit date promptly. An employee whose exit date is never marked cannot transfer or withdraw, and will contact the former employer months later. Make it part of the exit checklist.</w:t>
      </w:r>
    </w:p>
    <w:p>
      <w:pPr>
        <w:keepNext/>
        <w:spacing w:after="40" w:before="140"/>
      </w:pPr>
      <w:r>
        <w:rPr>
          <w:rFonts w:ascii="Calibri" w:cs="Calibri" w:eastAsia="Calibri" w:hAnsi="Calibri"/>
          <w:b/>
          <w:bCs/>
          <w:color w:val="14161B"/>
          <w:sz w:val="20"/>
          <w:szCs w:val="20"/>
        </w:rPr>
        <w:t xml:space="preserve">Use the prescribed form or the portal</w:t>
      </w:r>
    </w:p>
    <w:p>
      <w:pPr>
        <w:spacing w:after="60" w:line="264"/>
        <w:jc w:val="both"/>
      </w:pPr>
      <w:r>
        <w:rPr>
          <w:rFonts w:ascii="Calibri" w:cs="Calibri" w:eastAsia="Calibri" w:hAnsi="Calibri"/>
          <w:sz w:val="19"/>
          <w:szCs w:val="19"/>
        </w:rPr>
        <w:t xml:space="preserve">This template captures the substance required. Where the scheme prescribes a form, or where enrolment is done through the online portal, use those and keep this as the internal record and verification checklist.</w:t>
      </w:r>
    </w:p>
    <w:p>
      <w:pPr>
        <w:keepNext/>
        <w:spacing w:after="40" w:before="140"/>
      </w:pPr>
      <w:r>
        <w:rPr>
          <w:rFonts w:ascii="Calibri" w:cs="Calibri" w:eastAsia="Calibri" w:hAnsi="Calibri"/>
          <w:b/>
          <w:bCs/>
          <w:color w:val="14161B"/>
          <w:sz w:val="20"/>
          <w:szCs w:val="20"/>
        </w:rPr>
        <w:t xml:space="preserve">Retention</w:t>
      </w:r>
    </w:p>
    <w:p>
      <w:pPr>
        <w:spacing w:after="60" w:line="264"/>
        <w:jc w:val="both"/>
      </w:pPr>
      <w:r>
        <w:rPr>
          <w:rFonts w:ascii="Calibri" w:cs="Calibri" w:eastAsia="Calibri" w:hAnsi="Calibri"/>
          <w:sz w:val="19"/>
          <w:szCs w:val="19"/>
        </w:rPr>
        <w:t xml:space="preserve">Retain the declaration for the whole period of employment and for the retention period afterwards. It is the document that answers a later question about why an employee was or was not enrolled from a particular date.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Wage ceilings, contribution rates, exemption conditions, international worker treatment and the mechanics of universal account numbers all change — confirm the current position with a payroll specialist before adopting this form.</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2026-08-21T12:53:55.374Z</dcterms:created>
  <dcterms:modified xsi:type="dcterms:W3CDTF">2026-08-21T12:53:55.374Z</dcterms:modified>
</cp:coreProperties>
</file>

<file path=docProps/custom.xml><?xml version="1.0" encoding="utf-8"?>
<Properties xmlns="http://schemas.openxmlformats.org/officeDocument/2006/custom-properties" xmlns:vt="http://schemas.openxmlformats.org/officeDocument/2006/docPropsVTypes"/>
</file>