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PARTNERSHIP DEED</w:t>
      </w:r>
    </w:p>
    <w:p>
      <w:pPr>
        <w:spacing w:after="260"/>
        <w:jc w:val="center"/>
      </w:pPr>
      <w:r>
        <w:rPr>
          <w:rFonts w:ascii="Calibri" w:cs="Calibri" w:eastAsia="Calibri" w:hAnsi="Calibri"/>
          <w:b/>
          <w:bCs/>
          <w:i/>
          <w:iCs/>
          <w:color w:val="6E7480"/>
          <w:sz w:val="19"/>
          <w:szCs w:val="19"/>
        </w:rPr>
        <w:t xml:space="preserve">[FIRM NAME]</w:t>
      </w:r>
    </w:p>
    <w:p>
      <w:pPr>
        <w:spacing w:after="180" w:before="0" w:line="276"/>
        <w:jc w:val="both"/>
      </w:pPr>
      <w:r>
        <w:rPr>
          <w:rFonts w:ascii="Calibri" w:cs="Calibri" w:eastAsia="Calibri" w:hAnsi="Calibri"/>
          <w:i/>
          <w:iCs/>
          <w:color w:val="6E7480"/>
          <w:sz w:val="21"/>
          <w:szCs w:val="21"/>
        </w:rPr>
        <w:t xml:space="preserve">Understand what you are choosing before you sign. In a partnership every partner is personally liable, jointly and severally, for the whole of the firm’s debts, and each partner can bind the others by ordinary acts of business. If limited liability matters, incorporate an LLP or a company instead. If a partnership is genuinely the right form, register the firm — an unregistered firm cannot sue to enforce its contracts.</w:t>
      </w:r>
    </w:p>
    <w:p>
      <w:pPr>
        <w:spacing w:after="140" w:before="0" w:line="276"/>
        <w:jc w:val="both"/>
      </w:pPr>
      <w:r>
        <w:rPr>
          <w:rFonts w:ascii="Calibri" w:cs="Calibri" w:eastAsia="Calibri" w:hAnsi="Calibri"/>
          <w:b/>
          <w:bCs/>
          <w:sz w:val="21"/>
          <w:szCs w:val="21"/>
        </w:rPr>
        <w:t xml:space="preserve">THIS DEED OF PARTNERSHIP</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AMONG:</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[PARTNER 1]</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[PARTNER 2]</w:t>
      </w:r>
      <w:r>
        <w:rPr>
          <w:rFonts w:ascii="Calibri" w:cs="Calibri" w:eastAsia="Calibri" w:hAnsi="Calibri"/>
          <w:sz w:val="21"/>
          <w:szCs w:val="21"/>
        </w:rPr>
        <w:t xml:space="preserve">, </w:t>
      </w:r>
      <w:r>
        <w:rPr>
          <w:rFonts w:ascii="Calibri" w:cs="Calibri" w:eastAsia="Calibri" w:hAnsi="Calibri"/>
          <w:b/>
          <w:bCs/>
          <w:sz w:val="21"/>
          <w:szCs w:val="21"/>
        </w:rPr>
        <w:t xml:space="preserve">[particulars and PAN]</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b/>
          <w:bCs/>
          <w:sz w:val="21"/>
          <w:szCs w:val="21"/>
        </w:rPr>
        <w:t xml:space="preserve">[PARTNER 3]</w:t>
      </w:r>
      <w:r>
        <w:rPr>
          <w:rFonts w:ascii="Calibri" w:cs="Calibri" w:eastAsia="Calibri" w:hAnsi="Calibri"/>
          <w:sz w:val="21"/>
          <w:szCs w:val="21"/>
        </w:rPr>
        <w:t xml:space="preserve">, </w:t>
      </w:r>
      <w:r>
        <w:rPr>
          <w:rFonts w:ascii="Calibri" w:cs="Calibri" w:eastAsia="Calibri" w:hAnsi="Calibri"/>
          <w:b/>
          <w:bCs/>
          <w:sz w:val="21"/>
          <w:szCs w:val="21"/>
        </w:rPr>
        <w:t xml:space="preserve">[particulars and PAN]</w:t>
      </w:r>
      <w:r>
        <w:rPr>
          <w:rFonts w:ascii="Calibri" w:cs="Calibri" w:eastAsia="Calibri" w:hAnsi="Calibri"/>
          <w:sz w:val="21"/>
          <w:szCs w:val="21"/>
        </w:rPr>
        <w:t xml:space="preserve">,</w:t>
      </w:r>
    </w:p>
    <w:p>
      <w:pPr>
        <w:spacing w:after="140" w:before="100" w:line="276"/>
        <w:jc w:val="both"/>
      </w:pPr>
      <w:r>
        <w:rPr>
          <w:rFonts w:ascii="Calibri" w:cs="Calibri" w:eastAsia="Calibri" w:hAnsi="Calibri"/>
          <w:sz w:val="21"/>
          <w:szCs w:val="21"/>
        </w:rPr>
        <w:t xml:space="preserve">(each a "</w:t>
      </w:r>
      <w:r>
        <w:rPr>
          <w:rFonts w:ascii="Calibri" w:cs="Calibri" w:eastAsia="Calibri" w:hAnsi="Calibri"/>
          <w:b/>
          <w:bCs/>
          <w:sz w:val="21"/>
          <w:szCs w:val="21"/>
        </w:rPr>
        <w:t xml:space="preserve">Partner</w:t>
      </w:r>
      <w:r>
        <w:rPr>
          <w:rFonts w:ascii="Calibri" w:cs="Calibri" w:eastAsia="Calibri" w:hAnsi="Calibri"/>
          <w:sz w:val="21"/>
          <w:szCs w:val="21"/>
        </w:rPr>
        <w:t xml:space="preserve">" and together the "</w:t>
      </w:r>
      <w:r>
        <w:rPr>
          <w:rFonts w:ascii="Calibri" w:cs="Calibri" w:eastAsia="Calibri" w:hAnsi="Calibri"/>
          <w:b/>
          <w:bCs/>
          <w:sz w:val="21"/>
          <w:szCs w:val="21"/>
        </w:rPr>
        <w:t xml:space="preserve">Partners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Partners have agreed to carry on business in partnership on the terms recorded in this Deed.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This Deed records the terms of the partnership and governs the mutual rights and duties of the Partners, in substitution for the provisions of the Indian Partnership Act, 1932 (the "</w:t>
      </w:r>
      <w:r>
        <w:rPr>
          <w:rFonts w:ascii="Calibri" w:cs="Calibri" w:eastAsia="Calibri" w:hAnsi="Calibri"/>
          <w:b/>
          <w:bCs/>
          <w:sz w:val="21"/>
          <w:szCs w:val="21"/>
        </w:rPr>
        <w:t xml:space="preserve">Act</w:t>
      </w:r>
      <w:r>
        <w:rPr>
          <w:rFonts w:ascii="Calibri" w:cs="Calibri" w:eastAsia="Calibri" w:hAnsi="Calibri"/>
          <w:sz w:val="21"/>
          <w:szCs w:val="21"/>
        </w:rPr>
        <w:t xml:space="preserve">") to the extent that Act permits.</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Partners agree as follows:</w:t>
      </w:r>
    </w:p>
    <w:p>
      <w:pPr>
        <w:keepNext/>
        <w:spacing w:after="120" w:before="280"/>
        <w:outlineLvl w:val="0"/>
      </w:pPr>
      <w:r>
        <w:rPr>
          <w:rFonts w:ascii="Calibri" w:cs="Calibri" w:eastAsia="Calibri" w:hAnsi="Calibri"/>
          <w:b/>
          <w:bCs/>
          <w:color w:val="14161B"/>
          <w:sz w:val="22"/>
          <w:szCs w:val="22"/>
        </w:rPr>
        <w:t xml:space="preserve">1. NAME, BUSINESS AND DURATION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partnership shall carry on business under the name and style of </w:t>
      </w:r>
      <w:r>
        <w:rPr>
          <w:rFonts w:ascii="Calibri" w:cs="Calibri" w:eastAsia="Calibri" w:hAnsi="Calibri"/>
          <w:b/>
          <w:bCs/>
          <w:sz w:val="21"/>
          <w:szCs w:val="21"/>
        </w:rPr>
        <w:t xml:space="preserve">[FIRM NAME]</w:t>
      </w:r>
      <w:r>
        <w:rPr>
          <w:rFonts w:ascii="Calibri" w:cs="Calibri" w:eastAsia="Calibri" w:hAnsi="Calibri"/>
          <w:sz w:val="21"/>
          <w:szCs w:val="21"/>
        </w:rPr>
        <w:t xml:space="preserve"> (the "</w:t>
      </w:r>
      <w:r>
        <w:rPr>
          <w:rFonts w:ascii="Calibri" w:cs="Calibri" w:eastAsia="Calibri" w:hAnsi="Calibri"/>
          <w:b/>
          <w:bCs/>
          <w:sz w:val="21"/>
          <w:szCs w:val="21"/>
        </w:rPr>
        <w:t xml:space="preserve">Firm</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business of the Firm is </w:t>
      </w:r>
      <w:r>
        <w:rPr>
          <w:rFonts w:ascii="Calibri" w:cs="Calibri" w:eastAsia="Calibri" w:hAnsi="Calibri"/>
          <w:b/>
          <w:bCs/>
          <w:sz w:val="21"/>
          <w:szCs w:val="21"/>
        </w:rPr>
        <w:t xml:space="preserve">[DESCRIBE THE BUSINESS PRECISELY]</w:t>
      </w:r>
      <w:r>
        <w:rPr>
          <w:rFonts w:ascii="Calibri" w:cs="Calibri" w:eastAsia="Calibri" w:hAnsi="Calibri"/>
          <w:sz w:val="21"/>
          <w:szCs w:val="21"/>
        </w:rPr>
        <w:t xml:space="preserve">, and such other business as the Partners may unanimously agree in writing.</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principal place of business of the Firm is at </w:t>
      </w:r>
      <w:r>
        <w:rPr>
          <w:rFonts w:ascii="Calibri" w:cs="Calibri" w:eastAsia="Calibri" w:hAnsi="Calibri"/>
          <w:b/>
          <w:bCs/>
          <w:sz w:val="21"/>
          <w:szCs w:val="21"/>
        </w:rPr>
        <w:t xml:space="preserve">[ADDRESS]</w:t>
      </w:r>
      <w:r>
        <w:rPr>
          <w:rFonts w:ascii="Calibri" w:cs="Calibri" w:eastAsia="Calibri" w:hAnsi="Calibri"/>
          <w:sz w:val="21"/>
          <w:szCs w:val="21"/>
        </w:rPr>
        <w:t xml:space="preserve">. The Firm may carry on business at such other places as the Partners agree.</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partnership shall be a </w:t>
      </w:r>
      <w:r>
        <w:rPr>
          <w:rFonts w:ascii="Calibri" w:cs="Calibri" w:eastAsia="Calibri" w:hAnsi="Calibri"/>
          <w:b/>
          <w:bCs/>
          <w:sz w:val="21"/>
          <w:szCs w:val="21"/>
        </w:rPr>
        <w:t xml:space="preserve">[partnership at will / partnership for a fixed term of ______ years from ______ / partnership for the duration of the venture described above]</w:t>
      </w:r>
      <w:r>
        <w:rPr>
          <w:rFonts w:ascii="Calibri" w:cs="Calibri" w:eastAsia="Calibri" w:hAnsi="Calibri"/>
          <w:sz w:val="21"/>
          <w:szCs w:val="21"/>
        </w:rPr>
        <w:t xml:space="preserve">. </w:t>
      </w:r>
      <w:r>
        <w:rPr>
          <w:rFonts w:ascii="Calibri" w:cs="Calibri" w:eastAsia="Calibri" w:hAnsi="Calibri"/>
          <w:i/>
          <w:iCs/>
          <w:sz w:val="21"/>
          <w:szCs w:val="21"/>
        </w:rPr>
        <w:t xml:space="preserve">(This choice matters. A partnership at will may be dissolved by any partner on notice; a fixed-term partnership may not. Specify.)</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The partnership shall commence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1.6	</w:t>
      </w:r>
      <w:r>
        <w:rPr>
          <w:rFonts w:ascii="Calibri" w:cs="Calibri" w:eastAsia="Calibri" w:hAnsi="Calibri"/>
          <w:sz w:val="21"/>
          <w:szCs w:val="21"/>
        </w:rPr>
        <w:t xml:space="preserve">The accounting year of the Firm shall end on </w:t>
      </w:r>
      <w:r>
        <w:rPr>
          <w:rFonts w:ascii="Calibri" w:cs="Calibri" w:eastAsia="Calibri" w:hAnsi="Calibri"/>
          <w:b/>
          <w:bCs/>
          <w:sz w:val="21"/>
          <w:szCs w:val="21"/>
        </w:rPr>
        <w:t xml:space="preserve">[31 March]</w:t>
      </w:r>
      <w:r>
        <w:rPr>
          <w:rFonts w:ascii="Calibri" w:cs="Calibri" w:eastAsia="Calibri" w:hAnsi="Calibri"/>
          <w:sz w:val="21"/>
          <w:szCs w:val="21"/>
        </w:rPr>
        <w:t xml:space="preserve"> in each year.</w:t>
      </w:r>
    </w:p>
    <w:p>
      <w:pPr>
        <w:keepNext/>
        <w:spacing w:after="120" w:before="280"/>
        <w:outlineLvl w:val="0"/>
      </w:pPr>
      <w:r>
        <w:rPr>
          <w:rFonts w:ascii="Calibri" w:cs="Calibri" w:eastAsia="Calibri" w:hAnsi="Calibri"/>
          <w:b/>
          <w:bCs/>
          <w:color w:val="14161B"/>
          <w:sz w:val="22"/>
          <w:szCs w:val="22"/>
        </w:rPr>
        <w:t xml:space="preserve">2. CAPITAL AND CONTRIBUTIONS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initial capital of the Firm shall be ₹ </w:t>
      </w:r>
      <w:r>
        <w:rPr>
          <w:rFonts w:ascii="Calibri" w:cs="Calibri" w:eastAsia="Calibri" w:hAnsi="Calibri"/>
          <w:b/>
          <w:bCs/>
          <w:sz w:val="21"/>
          <w:szCs w:val="21"/>
        </w:rPr>
        <w:t xml:space="preserve">[AMOUNT]</w:t>
      </w:r>
      <w:r>
        <w:rPr>
          <w:rFonts w:ascii="Calibri" w:cs="Calibri" w:eastAsia="Calibri" w:hAnsi="Calibri"/>
          <w:sz w:val="21"/>
          <w:szCs w:val="21"/>
        </w:rPr>
        <w:t xml:space="preserve">, contributed by the Partners in the amounts set out in Schedule 1, by the dates stated.</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A contribution in kind shall be valued as stated in Schedule 1, and the basis of valuation shall be recorded in the books of account.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Further capital shall be contributed by the Partners in proportion to their existing capital, as and when the Partners unanimously agree. No Partner shall be obliged to contribute further capital.</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Interest shall be payable on the capital standing to the credit of each Partner at the rate of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not exceeding the rate up to which interest on partners’ capital is deductible in computing the income of the Firm under the income-tax law then in force. Interest shall be calculated on the balance standing at the beginning of each month and shall be credited to the current account of each Partner.</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Any amount advanced by a Partner beyond that Partner’s capital shall be a loan to the Firm, carrying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repayable as the Partners agree.</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Separate capital and current accounts shall be maintained for each Partner. Capital contributions and withdrawals of capital shall be recorded in the capital account; interest, remuneration, profit share and drawings in the current account.</w:t>
      </w:r>
    </w:p>
    <w:p>
      <w:pPr>
        <w:spacing w:after="120" w:before="60" w:line="276"/>
        <w:ind w:left="720" w:hanging="720"/>
        <w:jc w:val="both"/>
      </w:pPr>
      <w:r>
        <w:rPr>
          <w:rFonts w:ascii="Calibri" w:cs="Calibri" w:eastAsia="Calibri" w:hAnsi="Calibri"/>
          <w:sz w:val="21"/>
          <w:szCs w:val="21"/>
        </w:rPr>
        <w:t xml:space="preserve">2.7	</w:t>
      </w:r>
      <w:r>
        <w:rPr>
          <w:rFonts w:ascii="Calibri" w:cs="Calibri" w:eastAsia="Calibri" w:hAnsi="Calibri"/>
          <w:sz w:val="21"/>
          <w:szCs w:val="21"/>
        </w:rPr>
        <w:t xml:space="preserve">No Partner shall withdraw any part of the capital without the written consent of all the Partners.</w:t>
      </w:r>
    </w:p>
    <w:p>
      <w:pPr>
        <w:keepNext/>
        <w:spacing w:after="120" w:before="280"/>
        <w:outlineLvl w:val="0"/>
      </w:pPr>
      <w:r>
        <w:rPr>
          <w:rFonts w:ascii="Calibri" w:cs="Calibri" w:eastAsia="Calibri" w:hAnsi="Calibri"/>
          <w:b/>
          <w:bCs/>
          <w:color w:val="14161B"/>
          <w:sz w:val="22"/>
          <w:szCs w:val="22"/>
        </w:rPr>
        <w:t xml:space="preserve">3. PROFITS, LOSSES AND REMUNERATION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net profits and losses of the Firm shall be divided among the Partners in the proportions set out in Schedule 1, after providing for interest on capital and remuneration to the working partners.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Partners named as working partners in Schedule 2 shall be entitled to remuneration for their services, computed in the manner set out in that Schedule.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aggregate remuneration payable to the working partners in any accounting year shall not exceed the amount deductible in computing the income of the Firm under the applicable provisions of the income-tax law then in force. Remuneration is payable only in respect of a period falling after the date of this Deed or of the supplementary deed authorising it. </w:t>
      </w:r>
      <w:r>
        <w:rPr>
          <w:rFonts w:ascii="Calibri" w:cs="Calibri" w:eastAsia="Calibri" w:hAnsi="Calibri"/>
          <w:i/>
          <w:iCs/>
          <w:sz w:val="21"/>
          <w:szCs w:val="21"/>
        </w:rPr>
        <w:t xml:space="preserve">(Remuneration authorised retrospectively is not deductible — see the notes.)</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Each Partner may draw against the anticipated share of profits such amounts as the Partners agree. Drawings in excess of a Partner’s share of profit for the year shall be repaid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accounts being finalised, failing which they shall carry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Losses shall be borne by the Partners in the same proportions in which they share profits, unless otherwise stated in Schedule 1.</w:t>
      </w:r>
    </w:p>
    <w:p>
      <w:pPr>
        <w:keepNext/>
        <w:spacing w:after="120" w:before="280"/>
        <w:outlineLvl w:val="0"/>
      </w:pPr>
      <w:r>
        <w:rPr>
          <w:rFonts w:ascii="Calibri" w:cs="Calibri" w:eastAsia="Calibri" w:hAnsi="Calibri"/>
          <w:b/>
          <w:bCs/>
          <w:color w:val="14161B"/>
          <w:sz w:val="22"/>
          <w:szCs w:val="22"/>
        </w:rPr>
        <w:t xml:space="preserve">4. MANAGEMENT AND DUTIES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Partners named in Schedule 2 shall manage the day-to-day business of the Firm in accordance with the responsibilities allocated in that Schedule. Every Partner shall have access to the books and records of the Firm at all times.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Ordinary decisions in the course of business may be taken by the managing partners. The following require the written consent of </w:t>
      </w:r>
      <w:r>
        <w:rPr>
          <w:rFonts w:ascii="Calibri" w:cs="Calibri" w:eastAsia="Calibri" w:hAnsi="Calibri"/>
          <w:b/>
          <w:bCs/>
          <w:sz w:val="21"/>
          <w:szCs w:val="21"/>
        </w:rPr>
        <w:t xml:space="preserve">all</w:t>
      </w:r>
      <w:r>
        <w:rPr>
          <w:rFonts w:ascii="Calibri" w:cs="Calibri" w:eastAsia="Calibri" w:hAnsi="Calibri"/>
          <w:sz w:val="21"/>
          <w:szCs w:val="21"/>
        </w:rPr>
        <w:t xml:space="preserve"> the Partners: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any change in the nature of the business of the Firm, or the commencement of any new business;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admission of a new partner, or any change in the profit-sharing proportions;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borrowing of money, the giving of any guarantee, or the creation of any charge over the property of the Firm exceeding ₹ </w:t>
      </w:r>
      <w:r>
        <w:rPr>
          <w:rFonts w:ascii="Calibri" w:cs="Calibri" w:eastAsia="Calibri" w:hAnsi="Calibri"/>
          <w:b/>
          <w:bCs/>
          <w:sz w:val="21"/>
          <w:szCs w:val="21"/>
        </w:rPr>
        <w:t xml:space="preserve">[THRESHOLD]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acquisition or disposal of any immovable property, or of any asset exceeding ₹ </w:t>
      </w:r>
      <w:r>
        <w:rPr>
          <w:rFonts w:ascii="Calibri" w:cs="Calibri" w:eastAsia="Calibri" w:hAnsi="Calibri"/>
          <w:b/>
          <w:bCs/>
          <w:sz w:val="21"/>
          <w:szCs w:val="21"/>
        </w:rPr>
        <w:t xml:space="preserve">[THRESHOLD]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the opening or closing of any bank account, or any change in the mandate for its operation;</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the appointment or dismissal of any employee whose annual remuneration exceeds ₹ </w:t>
      </w:r>
      <w:r>
        <w:rPr>
          <w:rFonts w:ascii="Calibri" w:cs="Calibri" w:eastAsia="Calibri" w:hAnsi="Calibri"/>
          <w:b/>
          <w:bCs/>
          <w:sz w:val="21"/>
          <w:szCs w:val="21"/>
        </w:rPr>
        <w:t xml:space="preserve">[THRESHOLD]</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the compromise or settlement of any claim due to the Firm, or the commencement or settlement of any litigation;</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the admission of any liability of the Firm, or the submission of any dispute to arbitration;</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the transfer of any Partner’s interest in the Firm; and</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the dissolution of the Firm.</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Each Partner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be just and faithful to the other Partners, and carry on the business of the Firm to the greatest common advantage;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render true accounts and full information of all things affecting the Firm to the other Partners;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devote the time and attention to the business of the Firm set out against that Partner’s name in Schedule 2;</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account to the Firm for any private profit derived from any transaction of the Firm, or from the use of its property, name or business connection;</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not carry on, or hold any interest in, any business competing with the business of the Firm, and account to the Firm for all profits made in any such business;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indemnify the Firm for any loss caused by that Partner’s fraud or wilful neglect in the conduct of the business; and</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keep confidential all information relating to the Firm, during the partnership and after ceasing to be a Partner.</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No Partner shall, without the written consent of the other Partners, stand surety for any person, lend money or property of the Firm, engage or dismiss any employee outside the ordinary course, or use the name or credit of the Firm for any purpose other than the business of the Firm.</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The Firm shall be indemnified by each Partner against liability arising from that Partner’s acts done outside the scope of that Partner’s authority.</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BANKING AND ACCOUNTS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Firm shall maintain bank accounts in the name of the Firm with </w:t>
      </w:r>
      <w:r>
        <w:rPr>
          <w:rFonts w:ascii="Calibri" w:cs="Calibri" w:eastAsia="Calibri" w:hAnsi="Calibri"/>
          <w:b/>
          <w:bCs/>
          <w:sz w:val="21"/>
          <w:szCs w:val="21"/>
        </w:rPr>
        <w:t xml:space="preserve">[BANK]</w:t>
      </w:r>
      <w:r>
        <w:rPr>
          <w:rFonts w:ascii="Calibri" w:cs="Calibri" w:eastAsia="Calibri" w:hAnsi="Calibri"/>
          <w:sz w:val="21"/>
          <w:szCs w:val="21"/>
        </w:rPr>
        <w:t xml:space="preserve">, to be operated </w:t>
      </w:r>
      <w:r>
        <w:rPr>
          <w:rFonts w:ascii="Calibri" w:cs="Calibri" w:eastAsia="Calibri" w:hAnsi="Calibri"/>
          <w:b/>
          <w:bCs/>
          <w:sz w:val="21"/>
          <w:szCs w:val="21"/>
        </w:rPr>
        <w:t xml:space="preserve">[jointly by any two Partners / singly up to ₹ ______ and jointly above that 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All money received by or on behalf of the Firm shall be deposited in the Firm’s bank accounts without delay.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Proper books of account shall be maintained at the principal place of business, and shall be open to inspection and copying by every Partner at all times.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accounts of the Firm shall be made up as at the end of each accounting year, and shall be signed by all the Partners. Once signed, the accounts shall be binding on the Partners except in the case of manifest error or fraud brought to notice within </w:t>
      </w:r>
      <w:r>
        <w:rPr>
          <w:rFonts w:ascii="Calibri" w:cs="Calibri" w:eastAsia="Calibri" w:hAnsi="Calibri"/>
          <w:b/>
          <w:bCs/>
          <w:sz w:val="21"/>
          <w:szCs w:val="21"/>
        </w:rPr>
        <w:t xml:space="preserve">[6]</w:t>
      </w:r>
      <w:r>
        <w:rPr>
          <w:rFonts w:ascii="Calibri" w:cs="Calibri" w:eastAsia="Calibri" w:hAnsi="Calibri"/>
          <w:sz w:val="21"/>
          <w:szCs w:val="21"/>
        </w:rPr>
        <w:t xml:space="preserve"> months of signature.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accounts of the Firm shall be audited where required by law, and in any event by </w:t>
      </w:r>
      <w:r>
        <w:rPr>
          <w:rFonts w:ascii="Calibri" w:cs="Calibri" w:eastAsia="Calibri" w:hAnsi="Calibri"/>
          <w:b/>
          <w:bCs/>
          <w:sz w:val="21"/>
          <w:szCs w:val="21"/>
        </w:rPr>
        <w:t xml:space="preserve">[NAME]</w:t>
      </w:r>
      <w:r>
        <w:rPr>
          <w:rFonts w:ascii="Calibri" w:cs="Calibri" w:eastAsia="Calibri" w:hAnsi="Calibri"/>
          <w:sz w:val="21"/>
          <w:szCs w:val="21"/>
        </w:rPr>
        <w:t xml:space="preserve">, Chartered Accountants, or such other auditor as the Partners appoint.</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The Firm shall obtain and maintain its permanent account number, its registration under the goods and services tax legislation where required, and all other registrations necessary for its business, and shall make all filings within the prescribed time.</w:t>
      </w:r>
    </w:p>
    <w:p>
      <w:pPr>
        <w:keepNext/>
        <w:spacing w:after="120" w:before="280"/>
        <w:outlineLvl w:val="0"/>
      </w:pPr>
      <w:r>
        <w:rPr>
          <w:rFonts w:ascii="Calibri" w:cs="Calibri" w:eastAsia="Calibri" w:hAnsi="Calibri"/>
          <w:b/>
          <w:bCs/>
          <w:color w:val="14161B"/>
          <w:sz w:val="22"/>
          <w:szCs w:val="22"/>
        </w:rPr>
        <w:t xml:space="preserve">6. PROPERTY AND GOODWILL</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All property, rights and interests acquired with money belonging to the Firm, or acquired for the purposes of and in the course of the business of the Firm, shall be the property of the Firm and shall be held and used exclusively for its purposes.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All intellectual property created by any Partner in connection with the business of the Firm shall belong to the Firm, and each Partner shall execute such documents as may be required to vest it in the Firm.</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goodwill of the Firm shall belong to the Partners in the proportions in which they share profits. Whether an outgoing Partner is paid for goodwill, and on what basis it is valued, is dealt with in Clause 8.</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Any property brought into the Firm by a Partner but not intended to become the property of the Firm shall be identified in Schedule 1 and shall remain the property of that Partner.</w:t>
      </w:r>
    </w:p>
    <w:p>
      <w:pPr>
        <w:keepNext/>
        <w:spacing w:after="120" w:before="280"/>
        <w:outlineLvl w:val="0"/>
      </w:pPr>
      <w:r>
        <w:rPr>
          <w:rFonts w:ascii="Calibri" w:cs="Calibri" w:eastAsia="Calibri" w:hAnsi="Calibri"/>
          <w:b/>
          <w:bCs/>
          <w:color w:val="14161B"/>
          <w:sz w:val="22"/>
          <w:szCs w:val="22"/>
        </w:rPr>
        <w:t xml:space="preserve">7. ADMISSION OF A PARTNER</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No person shall be admitted as a Partner without the written consent of all the Partners, and on executing a supplementary deed agreeing to be bound by this Deed as amended.</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A minor may be admitted to the benefits of the partnership with the consent of all the Partners, but shall not be personally liable for the acts of the Firm. On attaining majority, that person shall elect within the period prescribed by the Act whether to become a Partner, and shall give public notice of that election.</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On the admission of a Partner, the Firm shall record the change in the register of firms where the Firm is registered, within the time prescribed.</w:t>
      </w:r>
    </w:p>
    <w:p>
      <w:pPr>
        <w:keepNext/>
        <w:spacing w:after="120" w:before="280"/>
        <w:outlineLvl w:val="0"/>
      </w:pPr>
      <w:r>
        <w:rPr>
          <w:rFonts w:ascii="Calibri" w:cs="Calibri" w:eastAsia="Calibri" w:hAnsi="Calibri"/>
          <w:b/>
          <w:bCs/>
          <w:color w:val="14161B"/>
          <w:sz w:val="22"/>
          <w:szCs w:val="22"/>
        </w:rPr>
        <w:t xml:space="preserve">8. RETIREMENT, EXPULSION AND DEATH</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b/>
          <w:bCs/>
          <w:sz w:val="21"/>
          <w:szCs w:val="21"/>
        </w:rPr>
        <w:t xml:space="preserve">Retirement.</w:t>
      </w:r>
      <w:r>
        <w:rPr>
          <w:rFonts w:ascii="Calibri" w:cs="Calibri" w:eastAsia="Calibri" w:hAnsi="Calibri"/>
          <w:sz w:val="21"/>
          <w:szCs w:val="21"/>
        </w:rPr>
        <w:t xml:space="preserve"> A Partner may retire by giving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days’ written notice to the other Partners, or with the consent of all the other Partners. Where the partnership is at will, a Partner may retire by written notice to all the other Partners.</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b/>
          <w:bCs/>
          <w:sz w:val="21"/>
          <w:szCs w:val="21"/>
        </w:rPr>
        <w:t xml:space="preserve">Expulsion.</w:t>
      </w:r>
      <w:r>
        <w:rPr>
          <w:rFonts w:ascii="Calibri" w:cs="Calibri" w:eastAsia="Calibri" w:hAnsi="Calibri"/>
          <w:sz w:val="21"/>
          <w:szCs w:val="21"/>
        </w:rPr>
        <w:t xml:space="preserve"> A Partner may be expelled by written notice given by all the other Partners where that Partner: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commits a material breach of this Deed and fails to remedy it within </w:t>
      </w:r>
      <w:r>
        <w:rPr>
          <w:rFonts w:ascii="Calibri" w:cs="Calibri" w:eastAsia="Calibri" w:hAnsi="Calibri"/>
          <w:b/>
          <w:bCs/>
          <w:sz w:val="21"/>
          <w:szCs w:val="21"/>
        </w:rPr>
        <w:t xml:space="preserve">[30]</w:t>
      </w:r>
      <w:r>
        <w:rPr>
          <w:rFonts w:ascii="Calibri" w:cs="Calibri" w:eastAsia="Calibri" w:hAnsi="Calibri"/>
          <w:sz w:val="21"/>
          <w:szCs w:val="21"/>
        </w:rPr>
        <w:t xml:space="preserve"> days of written notice;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is guilty of fraud, dishonesty or wilful misconduct in the conduct of the business of the Firm;</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 convicted of an offence involving moral turpitude;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becomes of unsound mind, or permanently incapable of performing that Partner’s duties;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is adjudged insolvent, or allows that Partner’s share to be charged or attached for a separate debt; or</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does anything that makes it unlawful or impracticable for the business to be carried on with that Partner.</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The power of expulsion shall be exercised in good faith, in the interests of the Firm, and only after the Partner concerned has been given written notice of the grounds and a reasonable opportunity to be heard. </w:t>
      </w:r>
      <w:r>
        <w:rPr>
          <w:rFonts w:ascii="Calibri" w:cs="Calibri" w:eastAsia="Calibri" w:hAnsi="Calibri"/>
          <w:i/>
          <w:iCs/>
          <w:sz w:val="21"/>
          <w:szCs w:val="21"/>
        </w:rPr>
        <w:t xml:space="preserve">(An expulsion that does not meet these conditions is invalid and the expelled partner remains a partner — see the notes.)</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b/>
          <w:bCs/>
          <w:sz w:val="21"/>
          <w:szCs w:val="21"/>
        </w:rPr>
        <w:t xml:space="preserve">Death.</w:t>
      </w:r>
      <w:r>
        <w:rPr>
          <w:rFonts w:ascii="Calibri" w:cs="Calibri" w:eastAsia="Calibri" w:hAnsi="Calibri"/>
          <w:sz w:val="21"/>
          <w:szCs w:val="21"/>
        </w:rPr>
        <w:t xml:space="preserve"> On the death of a Partner, the Firm shall not be dissolved, and the surviving Partners shall continue the business, subject to settling the account of the deceased Partner under Clause 8.5. The legal representatives of a deceased Partner shall not be entitled to be admitted as a Partner unless all the surviving Partners agree.</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Public notice.</w:t>
      </w:r>
      <w:r>
        <w:rPr>
          <w:rFonts w:ascii="Calibri" w:cs="Calibri" w:eastAsia="Calibri" w:hAnsi="Calibri"/>
          <w:sz w:val="21"/>
          <w:szCs w:val="21"/>
        </w:rPr>
        <w:t xml:space="preserve"> On the retirement, expulsion or insolvency of a Partner, and on the dissolution of the Firm, public notice shall be given in the manner required by the Act, and the register of firms shall be updated where the Firm is registered. Until public notice is given, an outgoing Partner may remain liable to third parties for acts of the Firm done after that Partner ceased to be a Partner.</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b/>
          <w:bCs/>
          <w:sz w:val="21"/>
          <w:szCs w:val="21"/>
        </w:rPr>
        <w:t xml:space="preserve">Settlement of the outgoing Partner’s account.</w:t>
      </w:r>
      <w:r>
        <w:rPr>
          <w:rFonts w:ascii="Calibri" w:cs="Calibri" w:eastAsia="Calibri" w:hAnsi="Calibri"/>
          <w:sz w:val="21"/>
          <w:szCs w:val="21"/>
        </w:rPr>
        <w:t xml:space="preserve"> An outgoing Partner, or the legal representatives of a deceased Partner, shall be entitled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balance standing to the credit of that Partner’s capital and current accounts;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that Partner’s share of the profits up to the date of cessation, and of any undistributed profits and reserves;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[that Partner’s share of the goodwill of the Firm, valued at ______ / no amount in respect of goodwill, the Partners having agreed that goodwill shall not be valued on the cessation of a Partner]</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 and do not leave silent)</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that Partner’s share of any revaluation of the assets of the Firm as at the date of cessation, where the Partners agree to a revaluation,</w:t>
      </w:r>
    </w:p>
    <w:p>
      <w:pPr>
        <w:spacing w:after="100" w:before="40" w:line="276"/>
        <w:ind w:left="1440" w:hanging="720"/>
        <w:jc w:val="both"/>
      </w:pPr>
      <w:r>
        <w:rPr>
          <w:rFonts w:ascii="Calibri" w:cs="Calibri" w:eastAsia="Calibri" w:hAnsi="Calibri"/>
          <w:sz w:val="21"/>
          <w:szCs w:val="21"/>
        </w:rPr>
        <w:t xml:space="preserve">	</w:t>
      </w:r>
      <w:r>
        <w:rPr>
          <w:rFonts w:ascii="Calibri" w:cs="Calibri" w:eastAsia="Calibri" w:hAnsi="Calibri"/>
          <w:sz w:val="21"/>
          <w:szCs w:val="21"/>
        </w:rPr>
        <w:t xml:space="preserve">in each case less any amount owed by that Partner to the Firm and any loss caused by that Partner’s breach of this Deed. The amount shall be paid within </w:t>
      </w:r>
      <w:r>
        <w:rPr>
          <w:rFonts w:ascii="Calibri" w:cs="Calibri" w:eastAsia="Calibri" w:hAnsi="Calibri"/>
          <w:b/>
          <w:bCs/>
          <w:sz w:val="21"/>
          <w:szCs w:val="21"/>
        </w:rPr>
        <w:t xml:space="preserve">[90]</w:t>
      </w:r>
      <w:r>
        <w:rPr>
          <w:rFonts w:ascii="Calibri" w:cs="Calibri" w:eastAsia="Calibri" w:hAnsi="Calibri"/>
          <w:sz w:val="21"/>
          <w:szCs w:val="21"/>
        </w:rPr>
        <w:t xml:space="preserve"> days of the accounts being settled, or in </w:t>
      </w:r>
      <w:r>
        <w:rPr>
          <w:rFonts w:ascii="Calibri" w:cs="Calibri" w:eastAsia="Calibri" w:hAnsi="Calibri"/>
          <w:b/>
          <w:bCs/>
          <w:sz w:val="21"/>
          <w:szCs w:val="21"/>
        </w:rPr>
        <w:t xml:space="preserve">[NUMBER]</w:t>
      </w:r>
      <w:r>
        <w:rPr>
          <w:rFonts w:ascii="Calibri" w:cs="Calibri" w:eastAsia="Calibri" w:hAnsi="Calibri"/>
          <w:sz w:val="21"/>
          <w:szCs w:val="21"/>
        </w:rPr>
        <w:t xml:space="preserve"> equal instalments as the Partners decide, and shall carry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from the date of cessation until payment.</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An outgoing Partner shall not be entitled to any share of the profits earned by the Firm after the date of cessation, the entitlement under Clause 8.5 being in full and final settlement.</w:t>
      </w:r>
    </w:p>
    <w:p>
      <w:pPr>
        <w:spacing w:after="120" w:before="60" w:line="276"/>
        <w:ind w:left="720" w:hanging="720"/>
        <w:jc w:val="both"/>
      </w:pPr>
      <w:r>
        <w:rPr>
          <w:rFonts w:ascii="Calibri" w:cs="Calibri" w:eastAsia="Calibri" w:hAnsi="Calibri"/>
          <w:sz w:val="21"/>
          <w:szCs w:val="21"/>
        </w:rPr>
        <w:t xml:space="preserve">8.7	</w:t>
      </w:r>
      <w:r>
        <w:rPr>
          <w:rFonts w:ascii="Calibri" w:cs="Calibri" w:eastAsia="Calibri" w:hAnsi="Calibri"/>
          <w:sz w:val="21"/>
          <w:szCs w:val="21"/>
        </w:rPr>
        <w:t xml:space="preserve">An outgoing Partner shall remain liable for the debts and obligations of the Firm incurred before the date of cessation, and the continuing Partners shall indemnify that Partner against liabilities incurred after that date, provided public notice has been given.</w:t>
      </w:r>
    </w:p>
    <w:p>
      <w:pPr>
        <w:spacing w:after="120" w:before="60" w:line="276"/>
        <w:ind w:left="720" w:hanging="720"/>
        <w:jc w:val="both"/>
      </w:pPr>
      <w:r>
        <w:rPr>
          <w:rFonts w:ascii="Calibri" w:cs="Calibri" w:eastAsia="Calibri" w:hAnsi="Calibri"/>
          <w:sz w:val="21"/>
          <w:szCs w:val="21"/>
        </w:rPr>
        <w:t xml:space="preserve">8.8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cessation, an outgoing Partner shall not solicit or entice away any employee, client, customer or supplier of the Firm with whom that Partner dealt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cessation, and shall not represent itself as connected with the Firm.</w:t>
      </w:r>
    </w:p>
    <w:p>
      <w:pPr>
        <w:keepNext/>
        <w:spacing w:after="120" w:before="280"/>
        <w:outlineLvl w:val="0"/>
      </w:pPr>
      <w:r>
        <w:rPr>
          <w:rFonts w:ascii="Calibri" w:cs="Calibri" w:eastAsia="Calibri" w:hAnsi="Calibri"/>
          <w:b/>
          <w:bCs/>
          <w:color w:val="14161B"/>
          <w:sz w:val="22"/>
          <w:szCs w:val="22"/>
        </w:rPr>
        <w:t xml:space="preserve">9. DISSOLUTION</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Firm may be dissolved by the written agreement of all the Partners, or in the circumstances in which the Act provides for dissolution.</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On dissolution, the assets of the Firm, including any sum contributed by the Partners to make up a deficiency of capital, shall be applied in the following order: in paying the debts of the Firm to third parties; in repaying to each Partner rateably any loan advanced by that Partner as distinct from capital; in repaying to each Partner rateably the capital contributed; and the residue shall be divided among the Partners in the proportions in which they share profits.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Public notice of dissolution shall be given, and the register of firms updated where the Firm is registered. Until public notice is given, the Partners remain liable to third parties for acts done in the name of the Firm.</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The Partners shall continue to be bound by their duties of good faith in winding up the affairs of the Firm.</w:t>
      </w:r>
    </w:p>
    <w:p>
      <w:pPr>
        <w:keepNext/>
        <w:spacing w:after="120" w:before="280"/>
        <w:outlineLvl w:val="0"/>
      </w:pPr>
      <w:r>
        <w:rPr>
          <w:rFonts w:ascii="Calibri" w:cs="Calibri" w:eastAsia="Calibri" w:hAnsi="Calibri"/>
          <w:b/>
          <w:bCs/>
          <w:color w:val="14161B"/>
          <w:sz w:val="22"/>
          <w:szCs w:val="22"/>
        </w:rPr>
        <w:t xml:space="preserve">10. REGISTRATION, DISPUTES AND GENERAL</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b/>
          <w:bCs/>
          <w:sz w:val="21"/>
          <w:szCs w:val="21"/>
        </w:rPr>
        <w:t xml:space="preserve">Registration.</w:t>
      </w:r>
      <w:r>
        <w:rPr>
          <w:rFonts w:ascii="Calibri" w:cs="Calibri" w:eastAsia="Calibri" w:hAnsi="Calibri"/>
          <w:sz w:val="21"/>
          <w:szCs w:val="21"/>
        </w:rPr>
        <w:t xml:space="preserve"> The Partners shall apply for registration of the Firm with the Registrar of Firms of </w:t>
      </w:r>
      <w:r>
        <w:rPr>
          <w:rFonts w:ascii="Calibri" w:cs="Calibri" w:eastAsia="Calibri" w:hAnsi="Calibri"/>
          <w:b/>
          <w:bCs/>
          <w:sz w:val="21"/>
          <w:szCs w:val="21"/>
        </w:rPr>
        <w:t xml:space="preserve">[STATE]</w:t>
      </w:r>
      <w:r>
        <w:rPr>
          <w:rFonts w:ascii="Calibri" w:cs="Calibri" w:eastAsia="Calibri" w:hAnsi="Calibri"/>
          <w:sz w:val="21"/>
          <w:szCs w:val="21"/>
        </w:rPr>
        <w:t xml:space="preserve"> in the prescribed form within </w:t>
      </w:r>
      <w:r>
        <w:rPr>
          <w:rFonts w:ascii="Calibri" w:cs="Calibri" w:eastAsia="Calibri" w:hAnsi="Calibri"/>
          <w:b/>
          <w:bCs/>
          <w:sz w:val="21"/>
          <w:szCs w:val="21"/>
        </w:rPr>
        <w:t xml:space="preserve">[30]</w:t>
      </w:r>
      <w:r>
        <w:rPr>
          <w:rFonts w:ascii="Calibri" w:cs="Calibri" w:eastAsia="Calibri" w:hAnsi="Calibri"/>
          <w:sz w:val="21"/>
          <w:szCs w:val="21"/>
        </w:rPr>
        <w:t xml:space="preserve"> days of the date of this Deed, and shall record every subsequent change in the constitution of the Firm.</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b/>
          <w:bCs/>
          <w:sz w:val="21"/>
          <w:szCs w:val="21"/>
        </w:rPr>
        <w:t xml:space="preserve">Disputes.</w:t>
      </w:r>
      <w:r>
        <w:rPr>
          <w:rFonts w:ascii="Calibri" w:cs="Calibri" w:eastAsia="Calibri" w:hAnsi="Calibri"/>
          <w:sz w:val="21"/>
          <w:szCs w:val="21"/>
        </w:rPr>
        <w:t xml:space="preserve"> Any dispute among the Partners arising out of or in connection with this Deed shall first be discussed in good faith, and if not resolved within </w:t>
      </w:r>
      <w:r>
        <w:rPr>
          <w:rFonts w:ascii="Calibri" w:cs="Calibri" w:eastAsia="Calibri" w:hAnsi="Calibri"/>
          <w:b/>
          <w:bCs/>
          <w:sz w:val="21"/>
          <w:szCs w:val="21"/>
        </w:rPr>
        <w:t xml:space="preserve">[30]</w:t>
      </w:r>
      <w:r>
        <w:rPr>
          <w:rFonts w:ascii="Calibri" w:cs="Calibri" w:eastAsia="Calibri" w:hAnsi="Calibri"/>
          <w:sz w:val="21"/>
          <w:szCs w:val="21"/>
        </w:rPr>
        <w:t xml:space="preserve"> days, shall be referred to and finally resolved by arbitration under the Arbitration and Conciliation Act, 1996 before a sole arbitrator, seated at </w:t>
      </w:r>
      <w:r>
        <w:rPr>
          <w:rFonts w:ascii="Calibri" w:cs="Calibri" w:eastAsia="Calibri" w:hAnsi="Calibri"/>
          <w:b/>
          <w:bCs/>
          <w:sz w:val="21"/>
          <w:szCs w:val="21"/>
        </w:rPr>
        <w:t xml:space="preserve">[CITY]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b/>
          <w:bCs/>
          <w:sz w:val="21"/>
          <w:szCs w:val="21"/>
        </w:rPr>
        <w:t xml:space="preserve">Amendment.</w:t>
      </w:r>
      <w:r>
        <w:rPr>
          <w:rFonts w:ascii="Calibri" w:cs="Calibri" w:eastAsia="Calibri" w:hAnsi="Calibri"/>
          <w:sz w:val="21"/>
          <w:szCs w:val="21"/>
        </w:rPr>
        <w:t xml:space="preserve"> This Deed may be amended only by a supplementary deed in writing signed by all the Partners, duly stamped, and recorded with the Registrar of Firms where the Firm is registered.</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b/>
          <w:bCs/>
          <w:sz w:val="21"/>
          <w:szCs w:val="21"/>
        </w:rPr>
        <w:t xml:space="preserve">Notices.</w:t>
      </w:r>
      <w:r>
        <w:rPr>
          <w:rFonts w:ascii="Calibri" w:cs="Calibri" w:eastAsia="Calibri" w:hAnsi="Calibri"/>
          <w:sz w:val="21"/>
          <w:szCs w:val="21"/>
        </w:rPr>
        <w:t xml:space="preserve"> Notices shall be in writing and delivered by hand, courier or email to the addresses in Schedule 3.</w:t>
      </w:r>
    </w:p>
    <w:p>
      <w:pPr>
        <w:spacing w:after="120" w:before="60" w:line="276"/>
        <w:ind w:left="720" w:hanging="720"/>
        <w:jc w:val="both"/>
      </w:pPr>
      <w:r>
        <w:rPr>
          <w:rFonts w:ascii="Calibri" w:cs="Calibri" w:eastAsia="Calibri" w:hAnsi="Calibri"/>
          <w:sz w:val="21"/>
          <w:szCs w:val="21"/>
        </w:rPr>
        <w:t xml:space="preserve">10.5	</w:t>
      </w:r>
      <w:r>
        <w:rPr>
          <w:rFonts w:ascii="Calibri" w:cs="Calibri" w:eastAsia="Calibri" w:hAnsi="Calibri"/>
          <w:b/>
          <w:bCs/>
          <w:sz w:val="21"/>
          <w:szCs w:val="21"/>
        </w:rPr>
        <w:t xml:space="preserve">Governing law.</w:t>
      </w:r>
      <w:r>
        <w:rPr>
          <w:rFonts w:ascii="Calibri" w:cs="Calibri" w:eastAsia="Calibri" w:hAnsi="Calibri"/>
          <w:sz w:val="21"/>
          <w:szCs w:val="21"/>
        </w:rPr>
        <w:t xml:space="preserve"> This Deed is governed by the laws of India and by the Indian Partnership Act, 1932. The provisions of that Act shall apply to matters on which this Deed is silent.</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Partners have executed this Deed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[PARTNER 3]</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  Address: </w:t>
            </w:r>
            <w:r>
              <w:rPr>
                <w:rFonts w:ascii="Calibri" w:cs="Calibri" w:eastAsia="Calibri" w:hAnsi="Calibri"/>
                <w:b/>
                <w:bCs/>
                <w:sz w:val="21"/>
                <w:szCs w:val="21"/>
              </w:rPr>
              <w:t xml:space="preserve">[ADDRESS]</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r>
              <w:rPr>
                <w:rFonts w:ascii="Calibri" w:cs="Calibri" w:eastAsia="Calibri" w:hAnsi="Calibri"/>
                <w:sz w:val="21"/>
                <w:szCs w:val="21"/>
              </w:rPr>
              <w:t xml:space="preserve">  Address: </w:t>
            </w:r>
            <w:r>
              <w:rPr>
                <w:rFonts w:ascii="Calibri" w:cs="Calibri" w:eastAsia="Calibri" w:hAnsi="Calibri"/>
                <w:b/>
                <w:bCs/>
                <w:sz w:val="21"/>
                <w:szCs w:val="21"/>
              </w:rPr>
              <w:t xml:space="preserve">[ADDRESS]</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Capital, Profit Sharing and Excluded Property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1927"/>
        <w:gridCol w:w="1349"/>
        <w:gridCol w:w="2505"/>
        <w:gridCol w:w="1252"/>
        <w:gridCol w:w="1060"/>
        <w:gridCol w:w="1064"/>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Capital (₹)</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Form of contribution</w:t>
            </w:r>
          </w:p>
        </w:tc>
        <w:tc>
          <w:tcPr>
            <w:tcW w:type="dxa" w:w="1252"/>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Due by</w:t>
            </w:r>
          </w:p>
        </w:tc>
        <w:tc>
          <w:tcPr>
            <w:tcW w:type="dxa" w:w="106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Profit share %</w:t>
            </w:r>
          </w:p>
        </w:tc>
        <w:tc>
          <w:tcPr>
            <w:tcW w:type="dxa" w:w="106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Loss share %</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1]</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[Cash / In kind — describe and value]</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06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2]</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[Cash / In kind]</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06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 3]</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[Cash / In kind]</w:t>
            </w:r>
          </w:p>
        </w:tc>
        <w:tc>
          <w:tcPr>
            <w:tcW w:type="dxa" w:w="1252"/>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06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r>
      <w:tr>
        <w:tc>
          <w:tcPr>
            <w:tcW w:type="dxa" w:w="481"/>
            <w:tcMar>
              <w:top w:type="dxa" w:w="70"/>
              <w:left w:type="dxa" w:w="100"/>
              <w:bottom w:type="dxa" w:w="70"/>
              <w:right w:type="dxa" w:w="100"/>
            </w:tcMar>
            <w:vAlign w:val="center"/>
          </w:tcPr>
          <w:p>
            <w:pPr>
              <w:spacing w:after="0" w:line="240"/>
              <w:jc w:val="center"/>
            </w:pP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2505"/>
            <w:tcMar>
              <w:top w:type="dxa" w:w="70"/>
              <w:left w:type="dxa" w:w="100"/>
              <w:bottom w:type="dxa" w:w="70"/>
              <w:right w:type="dxa" w:w="100"/>
            </w:tcMar>
            <w:vAlign w:val="center"/>
          </w:tcPr>
          <w:p>
            <w:pPr>
              <w:spacing w:after="0" w:line="240"/>
              <w:jc w:val="left"/>
            </w:pPr>
          </w:p>
        </w:tc>
        <w:tc>
          <w:tcPr>
            <w:tcW w:type="dxa" w:w="1252"/>
            <w:tcMar>
              <w:top w:type="dxa" w:w="70"/>
              <w:left w:type="dxa" w:w="100"/>
              <w:bottom w:type="dxa" w:w="70"/>
              <w:right w:type="dxa" w:w="100"/>
            </w:tcMar>
            <w:vAlign w:val="center"/>
          </w:tcPr>
          <w:p>
            <w:pPr>
              <w:spacing w:after="0" w:line="240"/>
              <w:jc w:val="center"/>
            </w:pP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c>
          <w:tcPr>
            <w:tcW w:type="dxa" w:w="106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100%</w:t>
            </w:r>
          </w:p>
        </w:tc>
      </w:tr>
    </w:tbl>
    <w:p>
      <w:pPr>
        <w:spacing w:after="140"/>
      </w:pPr>
    </w:p>
    <w:p>
      <w:pPr>
        <w:spacing w:after="160" w:before="0" w:line="276"/>
        <w:jc w:val="both"/>
      </w:pPr>
      <w:r>
        <w:rPr>
          <w:rFonts w:ascii="Calibri" w:cs="Calibri" w:eastAsia="Calibri" w:hAnsi="Calibri"/>
          <w:b/>
          <w:bCs/>
          <w:sz w:val="21"/>
          <w:szCs w:val="21"/>
        </w:rPr>
        <w:t xml:space="preserve">Property brought in but not becoming property of the Firm</w:t>
      </w:r>
      <w:r>
        <w:rPr>
          <w:rFonts w:ascii="Calibri" w:cs="Calibri" w:eastAsia="Calibri" w:hAnsi="Calibri"/>
          <w:sz w:val="21"/>
          <w:szCs w:val="21"/>
        </w:rPr>
        <w:t xml:space="preserve"> </w:t>
      </w:r>
      <w:r>
        <w:rPr>
          <w:rFonts w:ascii="Calibri" w:cs="Calibri" w:eastAsia="Calibri" w:hAnsi="Calibri"/>
          <w:i/>
          <w:iCs/>
          <w:sz w:val="21"/>
          <w:szCs w:val="21"/>
        </w:rPr>
        <w:t xml:space="preserve">(Clause 6.4)</w:t>
      </w:r>
      <w:r>
        <w:rPr>
          <w:rFonts w:ascii="Calibri" w:cs="Calibri" w:eastAsia="Calibri" w:hAnsi="Calibri"/>
          <w:sz w:val="21"/>
          <w:szCs w:val="21"/>
        </w:rPr>
        <w:t xml:space="preserve">: </w:t>
      </w:r>
      <w:r>
        <w:rPr>
          <w:rFonts w:ascii="Calibri" w:cs="Calibri" w:eastAsia="Calibri" w:hAnsi="Calibri"/>
          <w:b/>
          <w:bCs/>
          <w:sz w:val="21"/>
          <w:szCs w:val="21"/>
        </w:rPr>
        <w:t xml:space="preserve">[DESCRIBE, or state "None"]</w:t>
      </w: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Working Partners, Roles and Remuneration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1252"/>
        <w:gridCol w:w="2505"/>
        <w:gridCol w:w="1734"/>
        <w:gridCol w:w="2605"/>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Working partner</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Role and responsibilities</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Time commitment</w:t>
            </w:r>
          </w:p>
        </w:tc>
        <w:tc>
          <w:tcPr>
            <w:tcW w:type="dxa" w:w="26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Remuneration</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[Full-time / ____ hours per week]</w:t>
            </w:r>
          </w:p>
        </w:tc>
        <w:tc>
          <w:tcPr>
            <w:tcW w:type="dxa" w:w="26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______ per month, or ______ per cent of book profit, subject to Clause 3.3]</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[COMMITMENT]</w:t>
            </w:r>
          </w:p>
        </w:tc>
        <w:tc>
          <w:tcPr>
            <w:tcW w:type="dxa" w:w="26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[REMUNERATION]</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3]</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[COMMITMENT]</w:t>
            </w:r>
          </w:p>
        </w:tc>
        <w:tc>
          <w:tcPr>
            <w:tcW w:type="dxa" w:w="260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[REMUNERATION]</w:t>
            </w:r>
          </w:p>
        </w:tc>
      </w:tr>
    </w:tbl>
    <w:p>
      <w:pPr>
        <w:spacing w:after="14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Notices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2313"/>
        <w:gridCol w:w="1736"/>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Telephone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[PARTNER 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[PHONE]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Unlimited liability is the defining feature</w:t>
      </w:r>
    </w:p>
    <w:p>
      <w:pPr>
        <w:spacing w:after="60" w:line="264"/>
        <w:jc w:val="both"/>
      </w:pPr>
      <w:r>
        <w:rPr>
          <w:rFonts w:ascii="Calibri" w:cs="Calibri" w:eastAsia="Calibri" w:hAnsi="Calibri"/>
          <w:sz w:val="19"/>
          <w:szCs w:val="19"/>
        </w:rPr>
        <w:t xml:space="preserve">Every partner is personally liable, jointly and severally, for the whole of the debts of the firm, and a creditor may proceed against any partner’s personal assets for the whole amount. Each partner can also bind the others by acts done in the ordinary course of the business, whether or not the other partners knew. If those two consequences are unacceptable, the answer is an LLP or a company, not a carefully drafted partnership deed.</w:t>
      </w:r>
    </w:p>
    <w:p>
      <w:pPr>
        <w:keepNext/>
        <w:spacing w:after="40" w:before="140"/>
      </w:pPr>
      <w:r>
        <w:rPr>
          <w:rFonts w:ascii="Calibri" w:cs="Calibri" w:eastAsia="Calibri" w:hAnsi="Calibri"/>
          <w:b/>
          <w:bCs/>
          <w:color w:val="14161B"/>
          <w:sz w:val="20"/>
          <w:szCs w:val="20"/>
        </w:rPr>
        <w:t xml:space="preserve">Register the firm</w:t>
      </w:r>
    </w:p>
    <w:p>
      <w:pPr>
        <w:spacing w:after="60" w:line="264"/>
        <w:jc w:val="both"/>
      </w:pPr>
      <w:r>
        <w:rPr>
          <w:rFonts w:ascii="Calibri" w:cs="Calibri" w:eastAsia="Calibri" w:hAnsi="Calibri"/>
          <w:sz w:val="19"/>
          <w:szCs w:val="19"/>
        </w:rPr>
        <w:t xml:space="preserve">Registration is optional, but an unregistered firm cannot bring a suit to enforce a right arising from a contract, and a partner of an unregistered firm cannot sue the firm or the other partners to enforce a right under the partnership deed. The bar is discovered at the worst possible moment — when the firm needs to recover a debt or when partners fall out. Register at the outset, and record every change in the constitution of the firm as it happens.</w:t>
      </w:r>
    </w:p>
    <w:p>
      <w:pPr>
        <w:keepNext/>
        <w:spacing w:after="40" w:before="140"/>
      </w:pPr>
      <w:r>
        <w:rPr>
          <w:rFonts w:ascii="Calibri" w:cs="Calibri" w:eastAsia="Calibri" w:hAnsi="Calibri"/>
          <w:b/>
          <w:bCs/>
          <w:color w:val="14161B"/>
          <w:sz w:val="20"/>
          <w:szCs w:val="20"/>
        </w:rPr>
        <w:t xml:space="preserve">Partnership at will, or for a term</w:t>
      </w:r>
    </w:p>
    <w:p>
      <w:pPr>
        <w:spacing w:after="60" w:line="264"/>
        <w:jc w:val="both"/>
      </w:pPr>
      <w:r>
        <w:rPr>
          <w:rFonts w:ascii="Calibri" w:cs="Calibri" w:eastAsia="Calibri" w:hAnsi="Calibri"/>
          <w:sz w:val="19"/>
          <w:szCs w:val="19"/>
        </w:rPr>
        <w:t xml:space="preserve">A partnership at will may be dissolved by any partner giving notice, at any time, without cause. A partnership for a fixed term or for a particular venture cannot. Clause 1.4 forces the choice. Leaving it unstated means the partnership is at will by default, which gives every partner an unrestricted exit and, with it, the ability to force a dissolution.</w:t>
      </w:r>
    </w:p>
    <w:p>
      <w:pPr>
        <w:keepNext/>
        <w:spacing w:after="40" w:before="140"/>
      </w:pPr>
      <w:r>
        <w:rPr>
          <w:rFonts w:ascii="Calibri" w:cs="Calibri" w:eastAsia="Calibri" w:hAnsi="Calibri"/>
          <w:b/>
          <w:bCs/>
          <w:color w:val="14161B"/>
          <w:sz w:val="20"/>
          <w:szCs w:val="20"/>
        </w:rPr>
        <w:t xml:space="preserve">Remuneration and interest must be authorised in advance</w:t>
      </w:r>
    </w:p>
    <w:p>
      <w:pPr>
        <w:spacing w:after="60" w:line="264"/>
        <w:jc w:val="both"/>
      </w:pPr>
      <w:r>
        <w:rPr>
          <w:rFonts w:ascii="Calibri" w:cs="Calibri" w:eastAsia="Calibri" w:hAnsi="Calibri"/>
          <w:sz w:val="19"/>
          <w:szCs w:val="19"/>
        </w:rPr>
        <w:t xml:space="preserve">Remuneration to working partners and interest on capital are deductible in computing the income of the firm only if they are authorised by, and are in accordance with, the terms of the partnership deed, and only for a period after the date of that deed. A deed executed in March authorising remuneration for the year then ending does not achieve the deduction. Where remuneration is being introduced or changed, execute and stamp a supplementary deed before the period begins, and confirm the current limits and the permissible rate of interest with your tax adviser.</w:t>
      </w:r>
    </w:p>
    <w:p>
      <w:pPr>
        <w:keepNext/>
        <w:spacing w:after="40" w:before="140"/>
      </w:pPr>
      <w:r>
        <w:rPr>
          <w:rFonts w:ascii="Calibri" w:cs="Calibri" w:eastAsia="Calibri" w:hAnsi="Calibri"/>
          <w:b/>
          <w:bCs/>
          <w:color w:val="14161B"/>
          <w:sz w:val="20"/>
          <w:szCs w:val="20"/>
        </w:rPr>
        <w:t xml:space="preserve">Expulsion has strict conditions</w:t>
      </w:r>
    </w:p>
    <w:p>
      <w:pPr>
        <w:spacing w:after="60" w:line="264"/>
        <w:jc w:val="both"/>
      </w:pPr>
      <w:r>
        <w:rPr>
          <w:rFonts w:ascii="Calibri" w:cs="Calibri" w:eastAsia="Calibri" w:hAnsi="Calibri"/>
          <w:sz w:val="19"/>
          <w:szCs w:val="19"/>
        </w:rPr>
        <w:t xml:space="preserve">A partner may be expelled only where the deed confers the power, only by a majority acting in good faith, and only in the interests of the firm. An expulsion that fails any of those tests is void, and the expelled partner remains a partner with full rights — including a share of the profits earned in the interim. Clause 8.2 confers the power, defines the grounds, and requires notice and a hearing, which is what makes an expulsion defensible.</w:t>
      </w:r>
    </w:p>
    <w:p>
      <w:pPr>
        <w:keepNext/>
        <w:spacing w:after="40" w:before="140"/>
      </w:pPr>
      <w:r>
        <w:rPr>
          <w:rFonts w:ascii="Calibri" w:cs="Calibri" w:eastAsia="Calibri" w:hAnsi="Calibri"/>
          <w:b/>
          <w:bCs/>
          <w:color w:val="14161B"/>
          <w:sz w:val="20"/>
          <w:szCs w:val="20"/>
        </w:rPr>
        <w:t xml:space="preserve">Public notice is what ends liability to third parties</w:t>
      </w:r>
    </w:p>
    <w:p>
      <w:pPr>
        <w:spacing w:after="60" w:line="264"/>
        <w:jc w:val="both"/>
      </w:pPr>
      <w:r>
        <w:rPr>
          <w:rFonts w:ascii="Calibri" w:cs="Calibri" w:eastAsia="Calibri" w:hAnsi="Calibri"/>
          <w:sz w:val="19"/>
          <w:szCs w:val="19"/>
        </w:rPr>
        <w:t xml:space="preserve">A retiring partner remains liable to third parties for acts done in the name of the firm after retirement until public notice is given in the manner the Act requires. Giving notice to the other partners, or updating the bank mandate, is not enough. Give public notice, update the register of firms, and tell the firm’s bankers, customers and suppliers in writing.</w:t>
      </w:r>
    </w:p>
    <w:p>
      <w:pPr>
        <w:keepNext/>
        <w:spacing w:after="40" w:before="140"/>
      </w:pPr>
      <w:r>
        <w:rPr>
          <w:rFonts w:ascii="Calibri" w:cs="Calibri" w:eastAsia="Calibri" w:hAnsi="Calibri"/>
          <w:b/>
          <w:bCs/>
          <w:color w:val="14161B"/>
          <w:sz w:val="20"/>
          <w:szCs w:val="20"/>
        </w:rPr>
        <w:t xml:space="preserve">Death does not dissolve the firm only if the deed says so</w:t>
      </w:r>
    </w:p>
    <w:p>
      <w:pPr>
        <w:spacing w:after="60" w:line="264"/>
        <w:jc w:val="both"/>
      </w:pPr>
      <w:r>
        <w:rPr>
          <w:rFonts w:ascii="Calibri" w:cs="Calibri" w:eastAsia="Calibri" w:hAnsi="Calibri"/>
          <w:sz w:val="19"/>
          <w:szCs w:val="19"/>
        </w:rPr>
        <w:t xml:space="preserve">The default position is that a firm is dissolved by the death of a partner. Clause 8.3 displaces that so the business continues. Without such a clause, the death of one partner in a three-partner firm dissolves the whole firm, which is rarely what anyone intended.</w:t>
      </w:r>
    </w:p>
    <w:p>
      <w:pPr>
        <w:keepNext/>
        <w:spacing w:after="40" w:before="140"/>
      </w:pPr>
      <w:r>
        <w:rPr>
          <w:rFonts w:ascii="Calibri" w:cs="Calibri" w:eastAsia="Calibri" w:hAnsi="Calibri"/>
          <w:b/>
          <w:bCs/>
          <w:color w:val="14161B"/>
          <w:sz w:val="20"/>
          <w:szCs w:val="20"/>
        </w:rPr>
        <w:t xml:space="preserve">Settle the goodwill question in the deed</w:t>
      </w:r>
    </w:p>
    <w:p>
      <w:pPr>
        <w:spacing w:after="60" w:line="264"/>
        <w:jc w:val="both"/>
      </w:pPr>
      <w:r>
        <w:rPr>
          <w:rFonts w:ascii="Calibri" w:cs="Calibri" w:eastAsia="Calibri" w:hAnsi="Calibri"/>
          <w:sz w:val="19"/>
          <w:szCs w:val="19"/>
        </w:rPr>
        <w:t xml:space="preserve">Clause 8.5(c) requires an express choice: either the outgoing partner is paid for goodwill on a stated basis, or the partners agree that goodwill is not valued on cessation. Silence produces a dispute at exit, because goodwill is often the largest single number and there is no default answer that both sides will accept.</w:t>
      </w:r>
    </w:p>
    <w:p>
      <w:pPr>
        <w:keepNext/>
        <w:spacing w:after="40" w:before="140"/>
      </w:pPr>
      <w:r>
        <w:rPr>
          <w:rFonts w:ascii="Calibri" w:cs="Calibri" w:eastAsia="Calibri" w:hAnsi="Calibri"/>
          <w:b/>
          <w:bCs/>
          <w:color w:val="14161B"/>
          <w:sz w:val="20"/>
          <w:szCs w:val="20"/>
        </w:rPr>
        <w:t xml:space="preserve">Property of the firm versus property of a partner</w:t>
      </w:r>
    </w:p>
    <w:p>
      <w:pPr>
        <w:spacing w:after="60" w:line="264"/>
        <w:jc w:val="both"/>
      </w:pPr>
      <w:r>
        <w:rPr>
          <w:rFonts w:ascii="Calibri" w:cs="Calibri" w:eastAsia="Calibri" w:hAnsi="Calibri"/>
          <w:sz w:val="19"/>
          <w:szCs w:val="19"/>
        </w:rPr>
        <w:t xml:space="preserve">Assets bought with the firm’s money or acquired for the firm’s business are the firm’s property, even if registered in a partner’s name. Where a partner brings in premises, equipment or intellectual property intending to retain ownership, that must be recorded expressly — Schedule 1 provides the place. Otherwise it will be treated as the firm’s on dissolution.</w:t>
      </w:r>
    </w:p>
    <w:p>
      <w:pPr>
        <w:keepNext/>
        <w:spacing w:after="40" w:before="140"/>
      </w:pPr>
      <w:r>
        <w:rPr>
          <w:rFonts w:ascii="Calibri" w:cs="Calibri" w:eastAsia="Calibri" w:hAnsi="Calibri"/>
          <w:b/>
          <w:bCs/>
          <w:color w:val="14161B"/>
          <w:sz w:val="20"/>
          <w:szCs w:val="20"/>
        </w:rPr>
        <w:t xml:space="preserve">Minors</w:t>
      </w:r>
    </w:p>
    <w:p>
      <w:pPr>
        <w:spacing w:after="60" w:line="264"/>
        <w:jc w:val="both"/>
      </w:pPr>
      <w:r>
        <w:rPr>
          <w:rFonts w:ascii="Calibri" w:cs="Calibri" w:eastAsia="Calibri" w:hAnsi="Calibri"/>
          <w:sz w:val="19"/>
          <w:szCs w:val="19"/>
        </w:rPr>
        <w:t xml:space="preserve">A minor cannot be a partner but may be admitted to the benefits of the partnership, sharing profits without personal liability for losses. On attaining majority, that person must elect within the prescribed period whether to become a partner and must give public notice. Failing to make and notify the election has consequences for liability. Take advice before admitting a minor.</w:t>
      </w:r>
    </w:p>
    <w:p>
      <w:pPr>
        <w:keepNext/>
        <w:spacing w:after="40" w:before="140"/>
      </w:pPr>
      <w:r>
        <w:rPr>
          <w:rFonts w:ascii="Calibri" w:cs="Calibri" w:eastAsia="Calibri" w:hAnsi="Calibri"/>
          <w:b/>
          <w:bCs/>
          <w:color w:val="14161B"/>
          <w:sz w:val="20"/>
          <w:szCs w:val="20"/>
        </w:rPr>
        <w:t xml:space="preserve">No non-compete after cessation</w:t>
      </w:r>
    </w:p>
    <w:p>
      <w:pPr>
        <w:spacing w:after="60" w:line="264"/>
        <w:jc w:val="both"/>
      </w:pPr>
      <w:r>
        <w:rPr>
          <w:rFonts w:ascii="Calibri" w:cs="Calibri" w:eastAsia="Calibri" w:hAnsi="Calibri"/>
          <w:sz w:val="19"/>
          <w:szCs w:val="19"/>
        </w:rPr>
        <w:t xml:space="preserve">Clause 8.8 imposes confidentiality and non-solicitation only. Section 27 of the Indian Contract Act, 1872 voids restraints of trade, and a post-cessation non-compete on a former partner is not enforceable except within the narrow exception for the sale of goodwill. The duty not to compete during the partnership, in Clause 4.3(e), is enforceable and is the one that matters.</w:t>
      </w:r>
    </w:p>
    <w:p>
      <w:pPr>
        <w:keepNext/>
        <w:spacing w:after="40" w:before="140"/>
      </w:pPr>
      <w:r>
        <w:rPr>
          <w:rFonts w:ascii="Calibri" w:cs="Calibri" w:eastAsia="Calibri" w:hAnsi="Calibri"/>
          <w:b/>
          <w:bCs/>
          <w:color w:val="14161B"/>
          <w:sz w:val="20"/>
          <w:szCs w:val="20"/>
        </w:rPr>
        <w:t xml:space="preserve">Stamp duty and execution</w:t>
      </w:r>
    </w:p>
    <w:p>
      <w:pPr>
        <w:spacing w:after="60" w:line="264"/>
        <w:jc w:val="both"/>
      </w:pPr>
      <w:r>
        <w:rPr>
          <w:rFonts w:ascii="Calibri" w:cs="Calibri" w:eastAsia="Calibri" w:hAnsi="Calibri"/>
          <w:sz w:val="19"/>
          <w:szCs w:val="19"/>
        </w:rPr>
        <w:t xml:space="preserve">A partnership deed attracts State-specific stamp duty, in several States calculated by reference to the capital. Execute on stamp paper of the correct value in the State stated as the place of execution, take two witnesses, and give each partner an executed copy. A supplementary deed is separately stampable, and an understamped deed is inadmissible in evidence until duty and penalty are paid.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Registration procedure, stamp duty rates, and the tax limits on partner remuneration and interest on capital all change — have this deed reviewed by a chartered accountant and, where the firm holds immovable property, by a lawyer before execution.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2026-08-21T12:53:54.590Z</dcterms:created>
  <dcterms:modified xsi:type="dcterms:W3CDTF">2026-08-21T12:53:54.590Z</dcterms:modified>
</cp:coreProperties>
</file>

<file path=docProps/custom.xml><?xml version="1.0" encoding="utf-8"?>
<Properties xmlns="http://schemas.openxmlformats.org/officeDocument/2006/custom-properties" xmlns:vt="http://schemas.openxmlformats.org/officeDocument/2006/docPropsVTypes"/>
</file>