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MUTUAL NON-DISCLOSURE AGREEMENT</w:t>
      </w:r>
    </w:p>
    <w:p>
      <w:pPr>
        <w:spacing w:after="260"/>
        <w:jc w:val="center"/>
      </w:pPr>
      <w:r>
        <w:rPr>
          <w:rFonts w:ascii="Calibri" w:cs="Calibri" w:eastAsia="Calibri" w:hAnsi="Calibri"/>
          <w:i/>
          <w:iCs/>
          <w:color w:val="6E7480"/>
          <w:sz w:val="19"/>
          <w:szCs w:val="19"/>
        </w:rPr>
        <w:t xml:space="preserve">Two-way confidentiality for evaluating a potential business relationship</w:t>
      </w:r>
    </w:p>
    <w:p>
      <w:pPr>
        <w:spacing w:after="160" w:before="0" w:line="276"/>
        <w:jc w:val="both"/>
      </w:pPr>
      <w:r>
        <w:rPr>
          <w:rFonts w:ascii="Calibri" w:cs="Calibri" w:eastAsia="Calibri" w:hAnsi="Calibri"/>
          <w:sz w:val="21"/>
          <w:szCs w:val="21"/>
        </w:rPr>
        <w:t xml:space="preserve">This Mutual Non-Disclosure Agreement (this "</w:t>
      </w:r>
      <w:r>
        <w:rPr>
          <w:rFonts w:ascii="Calibri" w:cs="Calibri" w:eastAsia="Calibri" w:hAnsi="Calibri"/>
          <w:b/>
          <w:bCs/>
          <w:sz w:val="21"/>
          <w:szCs w:val="21"/>
        </w:rPr>
        <w:t xml:space="preserve">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 OF EXECUTION]</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BY AND BETWEEN</w:t>
      </w:r>
    </w:p>
    <w:p>
      <w:pPr>
        <w:spacing w:after="120" w:before="0" w:line="276"/>
        <w:jc w:val="both"/>
      </w:pPr>
      <w:r>
        <w:rPr>
          <w:rFonts w:ascii="Calibri" w:cs="Calibri" w:eastAsia="Calibri" w:hAnsi="Calibri"/>
          <w:b/>
          <w:bCs/>
          <w:sz w:val="21"/>
          <w:szCs w:val="21"/>
        </w:rPr>
        <w:t xml:space="preserve">[FIRST PARTY NAME]</w:t>
      </w:r>
      <w:r>
        <w:rPr>
          <w:rFonts w:ascii="Calibri" w:cs="Calibri" w:eastAsia="Calibri" w:hAnsi="Calibri"/>
          <w:sz w:val="21"/>
          <w:szCs w:val="21"/>
        </w:rPr>
        <w:t xml:space="preserve">, a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[REGISTERED OFFICE ADDRESS]</w:t>
      </w:r>
      <w:r>
        <w:rPr>
          <w:rFonts w:ascii="Calibri" w:cs="Calibri" w:eastAsia="Calibri" w:hAnsi="Calibri"/>
          <w:sz w:val="21"/>
          <w:szCs w:val="21"/>
        </w:rPr>
        <w:t xml:space="preserve"> (hereinafter referred to as the "</w:t>
      </w:r>
      <w:r>
        <w:rPr>
          <w:rFonts w:ascii="Calibri" w:cs="Calibri" w:eastAsia="Calibri" w:hAnsi="Calibri"/>
          <w:b/>
          <w:bCs/>
          <w:sz w:val="21"/>
          <w:szCs w:val="21"/>
        </w:rPr>
        <w:t xml:space="preserve">First Party</w:t>
      </w:r>
      <w:r>
        <w:rPr>
          <w:rFonts w:ascii="Calibri" w:cs="Calibri" w:eastAsia="Calibri" w:hAnsi="Calibri"/>
          <w:sz w:val="21"/>
          <w:szCs w:val="21"/>
        </w:rPr>
        <w:t xml:space="preserve">", which expression shall, unless repugnant to the context, include its successors and permitted assigns) of the ONE PART;</w:t>
      </w:r>
    </w:p>
    <w:p>
      <w:pPr>
        <w:spacing w:after="100" w:before="0" w:line="276"/>
        <w:jc w:val="both"/>
      </w:pPr>
      <w:r>
        <w:rPr>
          <w:rFonts w:ascii="Calibri" w:cs="Calibri" w:eastAsia="Calibri" w:hAnsi="Calibri"/>
          <w:b/>
          <w:bCs/>
          <w:sz w:val="21"/>
          <w:szCs w:val="21"/>
        </w:rPr>
        <w:t xml:space="preserve">AND</w:t>
      </w:r>
    </w:p>
    <w:p>
      <w:pPr>
        <w:spacing w:after="120" w:before="0" w:line="276"/>
        <w:jc w:val="both"/>
      </w:pPr>
      <w:r>
        <w:rPr>
          <w:rFonts w:ascii="Calibri" w:cs="Calibri" w:eastAsia="Calibri" w:hAnsi="Calibri"/>
          <w:b/>
          <w:bCs/>
          <w:sz w:val="21"/>
          <w:szCs w:val="21"/>
        </w:rPr>
        <w:t xml:space="preserve">[SECOND PARTY NAME]</w:t>
      </w:r>
      <w:r>
        <w:rPr>
          <w:rFonts w:ascii="Calibri" w:cs="Calibri" w:eastAsia="Calibri" w:hAnsi="Calibri"/>
          <w:sz w:val="21"/>
          <w:szCs w:val="21"/>
        </w:rPr>
        <w:t xml:space="preserve">, a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[REGISTERED OFFICE ADDRESS]</w:t>
      </w:r>
      <w:r>
        <w:rPr>
          <w:rFonts w:ascii="Calibri" w:cs="Calibri" w:eastAsia="Calibri" w:hAnsi="Calibri"/>
          <w:sz w:val="21"/>
          <w:szCs w:val="21"/>
        </w:rPr>
        <w:t xml:space="preserve"> (hereinafter referred to as the "</w:t>
      </w:r>
      <w:r>
        <w:rPr>
          <w:rFonts w:ascii="Calibri" w:cs="Calibri" w:eastAsia="Calibri" w:hAnsi="Calibri"/>
          <w:b/>
          <w:bCs/>
          <w:sz w:val="21"/>
          <w:szCs w:val="21"/>
        </w:rPr>
        <w:t xml:space="preserve">Second Party</w:t>
      </w:r>
      <w:r>
        <w:rPr>
          <w:rFonts w:ascii="Calibri" w:cs="Calibri" w:eastAsia="Calibri" w:hAnsi="Calibri"/>
          <w:sz w:val="21"/>
          <w:szCs w:val="21"/>
        </w:rPr>
        <w:t xml:space="preserve">", which expression shall, unless repugnant to the context, include its successors and permitted assigns) of the OTHER PART.</w:t>
      </w:r>
    </w:p>
    <w:p>
      <w:pPr>
        <w:spacing w:after="140" w:before="0" w:line="276"/>
        <w:jc w:val="both"/>
      </w:pPr>
      <w:r>
        <w:rPr>
          <w:rFonts w:ascii="Calibri" w:cs="Calibri" w:eastAsia="Calibri" w:hAnsi="Calibri"/>
          <w:sz w:val="21"/>
          <w:szCs w:val="21"/>
        </w:rPr>
        <w:t xml:space="preserve">The First Party and the Second Party are hereinafter individually referred to as a "</w:t>
      </w:r>
      <w:r>
        <w:rPr>
          <w:rFonts w:ascii="Calibri" w:cs="Calibri" w:eastAsia="Calibri" w:hAnsi="Calibri"/>
          <w:b/>
          <w:bCs/>
          <w:sz w:val="21"/>
          <w:szCs w:val="21"/>
        </w:rPr>
        <w:t xml:space="preserve">Party</w:t>
      </w:r>
      <w:r>
        <w:rPr>
          <w:rFonts w:ascii="Calibri" w:cs="Calibri" w:eastAsia="Calibri" w:hAnsi="Calibri"/>
          <w:sz w:val="21"/>
          <w:szCs w:val="21"/>
        </w:rPr>
        <w:t xml:space="preserve">" and collectively as the "</w:t>
      </w:r>
      <w:r>
        <w:rPr>
          <w:rFonts w:ascii="Calibri" w:cs="Calibri" w:eastAsia="Calibri" w:hAnsi="Calibri"/>
          <w:b/>
          <w:bCs/>
          <w:sz w:val="21"/>
          <w:szCs w:val="21"/>
        </w:rPr>
        <w:t xml:space="preserve">Parties</w:t>
      </w:r>
      <w:r>
        <w:rPr>
          <w:rFonts w:ascii="Calibri" w:cs="Calibri" w:eastAsia="Calibri" w:hAnsi="Calibri"/>
          <w:sz w:val="21"/>
          <w:szCs w:val="21"/>
        </w:rPr>
        <w:t xml:space="preserve">".</w:t>
      </w:r>
    </w:p>
    <w:p>
      <w:pPr>
        <w:spacing w:after="180" w:before="0" w:line="276"/>
        <w:jc w:val="both"/>
      </w:pPr>
      <w:r>
        <w:rPr>
          <w:rFonts w:ascii="Calibri" w:cs="Calibri" w:eastAsia="Calibri" w:hAnsi="Calibri"/>
          <w:i/>
          <w:iCs/>
          <w:color w:val="6E7480"/>
          <w:sz w:val="21"/>
          <w:szCs w:val="21"/>
        </w:rPr>
        <w:t xml:space="preserve">If a Party is an LLP, a partnership firm, a sole proprietorship or an individual, replace the description above with the corresponding constitution details (LLPIN and registered office; firm name and principal place of business; proprietor name and address; or individual name, address and PAN).</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Parties wish to explore and evaluate a potential business relationship in relation to </w:t>
      </w:r>
      <w:r>
        <w:rPr>
          <w:rFonts w:ascii="Calibri" w:cs="Calibri" w:eastAsia="Calibri" w:hAnsi="Calibri"/>
          <w:b/>
          <w:bCs/>
          <w:sz w:val="21"/>
          <w:szCs w:val="21"/>
        </w:rPr>
        <w:t xml:space="preserve">[DESCRIBE THE OPPORTUNITY — e.g. a proposed supply arrangement, technology partnership, investment or acquisition]</w:t>
      </w:r>
      <w:r>
        <w:rPr>
          <w:rFonts w:ascii="Calibri" w:cs="Calibri" w:eastAsia="Calibri" w:hAnsi="Calibri"/>
          <w:sz w:val="21"/>
          <w:szCs w:val="21"/>
        </w:rPr>
        <w:t xml:space="preserve"> (the "</w:t>
      </w:r>
      <w:r>
        <w:rPr>
          <w:rFonts w:ascii="Calibri" w:cs="Calibri" w:eastAsia="Calibri" w:hAnsi="Calibri"/>
          <w:b/>
          <w:bCs/>
          <w:sz w:val="21"/>
          <w:szCs w:val="21"/>
        </w:rPr>
        <w:t xml:space="preserve">Purpose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For the Purpose, each Party may disclose to the other Party certain confidential, proprietary and commercially sensitive information relating to its business, technology, customers, personnel and affairs.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Parties wish to record the terms on which such information is disclosed, received, used and protected.</w:t>
      </w:r>
    </w:p>
    <w:p>
      <w:pPr>
        <w:spacing w:after="120" w:before="120" w:line="276"/>
        <w:jc w:val="both"/>
      </w:pPr>
      <w:r>
        <w:rPr>
          <w:rFonts w:ascii="Calibri" w:cs="Calibri" w:eastAsia="Calibri" w:hAnsi="Calibri"/>
          <w:sz w:val="21"/>
          <w:szCs w:val="21"/>
        </w:rPr>
        <w:t xml:space="preserve">NOW THEREFORE, in consideration of the mutual covenants contained in this Agreement, the Parties agree as follows:</w:t>
      </w:r>
    </w:p>
    <w:p>
      <w:pPr>
        <w:keepNext/>
        <w:spacing w:after="120" w:before="280"/>
        <w:outlineLvl w:val="0"/>
      </w:pPr>
      <w:r>
        <w:rPr>
          <w:rFonts w:ascii="Calibri" w:cs="Calibri" w:eastAsia="Calibri" w:hAnsi="Calibri"/>
          <w:b/>
          <w:bCs/>
          <w:color w:val="14161B"/>
          <w:sz w:val="22"/>
          <w:szCs w:val="22"/>
        </w:rPr>
        <w:t xml:space="preserve">1. DEFINITIONS AND INTERPRETATION</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In this Agreement, unless the context otherwise requires: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w:t>
      </w:r>
      <w:r>
        <w:rPr>
          <w:rFonts w:ascii="Calibri" w:cs="Calibri" w:eastAsia="Calibri" w:hAnsi="Calibri"/>
          <w:b/>
          <w:bCs/>
          <w:sz w:val="21"/>
          <w:szCs w:val="21"/>
        </w:rPr>
        <w:t xml:space="preserve">Affiliate</w:t>
      </w:r>
      <w:r>
        <w:rPr>
          <w:rFonts w:ascii="Calibri" w:cs="Calibri" w:eastAsia="Calibri" w:hAnsi="Calibri"/>
          <w:sz w:val="21"/>
          <w:szCs w:val="21"/>
        </w:rPr>
        <w:t xml:space="preserve">" means, in relation to a Party, any entity that directly or indirectly controls, is controlled by, or is under common control with that Party, where "control" means the ability to direct the management or policies of an entity, whether through ownership of voting securities, by contract or otherwise;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w:t>
      </w:r>
      <w:r>
        <w:rPr>
          <w:rFonts w:ascii="Calibri" w:cs="Calibri" w:eastAsia="Calibri" w:hAnsi="Calibri"/>
          <w:b/>
          <w:bCs/>
          <w:sz w:val="21"/>
          <w:szCs w:val="21"/>
        </w:rPr>
        <w:t xml:space="preserve">Confidential Information</w:t>
      </w:r>
      <w:r>
        <w:rPr>
          <w:rFonts w:ascii="Calibri" w:cs="Calibri" w:eastAsia="Calibri" w:hAnsi="Calibri"/>
          <w:sz w:val="21"/>
          <w:szCs w:val="21"/>
        </w:rPr>
        <w:t xml:space="preserve">" means all information, in whatever form or medium (written, oral, visual, electronic or otherwise), whether or not marked or identified as confidential, disclosed by or on behalf of a Party (the "</w:t>
      </w:r>
      <w:r>
        <w:rPr>
          <w:rFonts w:ascii="Calibri" w:cs="Calibri" w:eastAsia="Calibri" w:hAnsi="Calibri"/>
          <w:b/>
          <w:bCs/>
          <w:sz w:val="21"/>
          <w:szCs w:val="21"/>
        </w:rPr>
        <w:t xml:space="preserve">Disclosing Party</w:t>
      </w:r>
      <w:r>
        <w:rPr>
          <w:rFonts w:ascii="Calibri" w:cs="Calibri" w:eastAsia="Calibri" w:hAnsi="Calibri"/>
          <w:sz w:val="21"/>
          <w:szCs w:val="21"/>
        </w:rPr>
        <w:t xml:space="preserve">") to the other Party (the "</w:t>
      </w:r>
      <w:r>
        <w:rPr>
          <w:rFonts w:ascii="Calibri" w:cs="Calibri" w:eastAsia="Calibri" w:hAnsi="Calibri"/>
          <w:b/>
          <w:bCs/>
          <w:sz w:val="21"/>
          <w:szCs w:val="21"/>
        </w:rPr>
        <w:t xml:space="preserve">Receiving Party</w:t>
      </w:r>
      <w:r>
        <w:rPr>
          <w:rFonts w:ascii="Calibri" w:cs="Calibri" w:eastAsia="Calibri" w:hAnsi="Calibri"/>
          <w:sz w:val="21"/>
          <w:szCs w:val="21"/>
        </w:rPr>
        <w:t xml:space="preserve">") before, on or after the date of this Agreement in connection with the Purpose, including without limitation:</w:t>
      </w:r>
    </w:p>
    <w:p>
      <w:pPr>
        <w:spacing w:after="100" w:before="40" w:line="276"/>
        <w:ind w:left="216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business plans, strategies, forecasts, financial statements, management accounts, pricing, margins, cost structures and unit economics;</w:t>
      </w:r>
    </w:p>
    <w:p>
      <w:pPr>
        <w:spacing w:after="100" w:before="40" w:line="276"/>
        <w:ind w:left="2160" w:hanging="720"/>
        <w:jc w:val="both"/>
      </w:pPr>
      <w:r>
        <w:rPr>
          <w:rFonts w:ascii="Calibri" w:cs="Calibri" w:eastAsia="Calibri" w:hAnsi="Calibri"/>
          <w:sz w:val="21"/>
          <w:szCs w:val="21"/>
        </w:rPr>
        <w:t xml:space="preserve">(ii)	</w:t>
      </w:r>
      <w:r>
        <w:rPr>
          <w:rFonts w:ascii="Calibri" w:cs="Calibri" w:eastAsia="Calibri" w:hAnsi="Calibri"/>
          <w:sz w:val="21"/>
          <w:szCs w:val="21"/>
        </w:rPr>
        <w:t xml:space="preserve">customer and supplier lists, pipeline data, contract terms and commercial arrangements with third parties;</w:t>
      </w:r>
    </w:p>
    <w:p>
      <w:pPr>
        <w:spacing w:after="100" w:before="40" w:line="276"/>
        <w:ind w:left="2160" w:hanging="720"/>
        <w:jc w:val="both"/>
      </w:pPr>
      <w:r>
        <w:rPr>
          <w:rFonts w:ascii="Calibri" w:cs="Calibri" w:eastAsia="Calibri" w:hAnsi="Calibri"/>
          <w:sz w:val="21"/>
          <w:szCs w:val="21"/>
        </w:rPr>
        <w:t xml:space="preserve">(iii)	</w:t>
      </w:r>
      <w:r>
        <w:rPr>
          <w:rFonts w:ascii="Calibri" w:cs="Calibri" w:eastAsia="Calibri" w:hAnsi="Calibri"/>
          <w:sz w:val="21"/>
          <w:szCs w:val="21"/>
        </w:rPr>
        <w:t xml:space="preserve">source code, object code, architecture, algorithms, models, datasets, specifications, designs, know-how, trade secrets and technical documentation;</w:t>
      </w:r>
    </w:p>
    <w:p>
      <w:pPr>
        <w:spacing w:after="100" w:before="40" w:line="276"/>
        <w:ind w:left="2160" w:hanging="720"/>
        <w:jc w:val="both"/>
      </w:pPr>
      <w:r>
        <w:rPr>
          <w:rFonts w:ascii="Calibri" w:cs="Calibri" w:eastAsia="Calibri" w:hAnsi="Calibri"/>
          <w:sz w:val="21"/>
          <w:szCs w:val="21"/>
        </w:rPr>
        <w:t xml:space="preserve">(iv)	</w:t>
      </w:r>
      <w:r>
        <w:rPr>
          <w:rFonts w:ascii="Calibri" w:cs="Calibri" w:eastAsia="Calibri" w:hAnsi="Calibri"/>
          <w:sz w:val="21"/>
          <w:szCs w:val="21"/>
        </w:rPr>
        <w:t xml:space="preserve">employee data, organisation structures, compensation information and personnel records;</w:t>
      </w:r>
    </w:p>
    <w:p>
      <w:pPr>
        <w:spacing w:after="100" w:before="40" w:line="276"/>
        <w:ind w:left="2160" w:hanging="720"/>
        <w:jc w:val="both"/>
      </w:pPr>
      <w:r>
        <w:rPr>
          <w:rFonts w:ascii="Calibri" w:cs="Calibri" w:eastAsia="Calibri" w:hAnsi="Calibri"/>
          <w:sz w:val="21"/>
          <w:szCs w:val="21"/>
        </w:rPr>
        <w:t xml:space="preserve">(v)	</w:t>
      </w:r>
      <w:r>
        <w:rPr>
          <w:rFonts w:ascii="Calibri" w:cs="Calibri" w:eastAsia="Calibri" w:hAnsi="Calibri"/>
          <w:sz w:val="21"/>
          <w:szCs w:val="21"/>
        </w:rPr>
        <w:t xml:space="preserve">the existence and contents of this Agreement, the fact that discussions between the Parties are taking place, and the status and terms of those discussions; and</w:t>
      </w:r>
    </w:p>
    <w:p>
      <w:pPr>
        <w:spacing w:after="100" w:before="40" w:line="276"/>
        <w:ind w:left="2160" w:hanging="720"/>
        <w:jc w:val="both"/>
      </w:pPr>
      <w:r>
        <w:rPr>
          <w:rFonts w:ascii="Calibri" w:cs="Calibri" w:eastAsia="Calibri" w:hAnsi="Calibri"/>
          <w:sz w:val="21"/>
          <w:szCs w:val="21"/>
        </w:rPr>
        <w:t xml:space="preserve">(vi)	</w:t>
      </w:r>
      <w:r>
        <w:rPr>
          <w:rFonts w:ascii="Calibri" w:cs="Calibri" w:eastAsia="Calibri" w:hAnsi="Calibri"/>
          <w:sz w:val="21"/>
          <w:szCs w:val="21"/>
        </w:rPr>
        <w:t xml:space="preserve">all notes, analyses, compilations, models, summaries and other materials prepared by the Receiving Party or its Representatives to the extent they contain, reflect or are derived from the information described above (together, "</w:t>
      </w:r>
      <w:r>
        <w:rPr>
          <w:rFonts w:ascii="Calibri" w:cs="Calibri" w:eastAsia="Calibri" w:hAnsi="Calibri"/>
          <w:b/>
          <w:bCs/>
          <w:sz w:val="21"/>
          <w:szCs w:val="21"/>
        </w:rPr>
        <w:t xml:space="preserve">Derived Materials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w:t>
      </w:r>
      <w:r>
        <w:rPr>
          <w:rFonts w:ascii="Calibri" w:cs="Calibri" w:eastAsia="Calibri" w:hAnsi="Calibri"/>
          <w:b/>
          <w:bCs/>
          <w:sz w:val="21"/>
          <w:szCs w:val="21"/>
        </w:rPr>
        <w:t xml:space="preserve">Representatives</w:t>
      </w:r>
      <w:r>
        <w:rPr>
          <w:rFonts w:ascii="Calibri" w:cs="Calibri" w:eastAsia="Calibri" w:hAnsi="Calibri"/>
          <w:sz w:val="21"/>
          <w:szCs w:val="21"/>
        </w:rPr>
        <w:t xml:space="preserve">" means, in relation to a Party, its Affiliates and the directors, officers, employees, professional advisers (including legal, tax and financial advisers), auditors, bankers and lenders of that Party or its Affiliates;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w:t>
      </w:r>
      <w:r>
        <w:rPr>
          <w:rFonts w:ascii="Calibri" w:cs="Calibri" w:eastAsia="Calibri" w:hAnsi="Calibri"/>
          <w:b/>
          <w:bCs/>
          <w:sz w:val="21"/>
          <w:szCs w:val="21"/>
        </w:rPr>
        <w:t xml:space="preserve">Permitted Purpose</w:t>
      </w:r>
      <w:r>
        <w:rPr>
          <w:rFonts w:ascii="Calibri" w:cs="Calibri" w:eastAsia="Calibri" w:hAnsi="Calibri"/>
          <w:sz w:val="21"/>
          <w:szCs w:val="21"/>
        </w:rPr>
        <w:t xml:space="preserve">" means evaluating, negotiating, documenting and (if the Parties so decide) performing the transaction or relationship described in the Purpose, and no other purpose.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In this Agreement: (a) the singular includes the plural and vice versa; (b) headings are for convenience only and do not affect interpretation; (c) "including" and "in particular" are without limitation; (d) a reference to a statute is a reference to that statute as amended, re-enacted or replaced from time to time; and (e) a reference to writing includes email and other electronic communication.</w:t>
      </w:r>
    </w:p>
    <w:p>
      <w:pPr>
        <w:keepNext/>
        <w:spacing w:after="120" w:before="280"/>
        <w:outlineLvl w:val="0"/>
      </w:pPr>
      <w:r>
        <w:rPr>
          <w:rFonts w:ascii="Calibri" w:cs="Calibri" w:eastAsia="Calibri" w:hAnsi="Calibri"/>
          <w:b/>
          <w:bCs/>
          <w:color w:val="14161B"/>
          <w:sz w:val="22"/>
          <w:szCs w:val="22"/>
        </w:rPr>
        <w:t xml:space="preserve">2. CONFIDENTIALITY OBLIGATIONS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Receiving Party shall: (a) keep all Confidential Information of the Disclosing Party strictly confidential; (b) use the Confidential Information solely for the Permitted Purpose; (c) not disclose the Confidential Information to any person except as expressly permitted under Clause 3 or Clause 4; and (d) apply to the Confidential Information at least the same degree of care that it applies to its own confidential information of a similar nature, and in no event less than a reasonable degree of care.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Receiving Party shall not, without the prior written consent of the Disclosing Party, reverse-engineer, decompile or disassemble any software, prototype, sample or other item disclosed to it, or attempt to derive the composition, structure or underlying method of operation of any such item.</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Receiving Party shall not use the Confidential Information to compete with the Disclosing Party, to solicit the Disclosing Party’s customers or suppliers identified from the Confidential Information, or to obtain any commercial advantage over the Disclosing Party outside the Permitted Purpose.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Receiving Party shall promptly notify the Disclosing Party in writing on becoming aware of any unauthorised use, disclosure, loss or compromise of Confidential Information, shall provide reasonable details of the incident, and shall cooperate with the Disclosing Party in taking steps to contain and remedy it.</w:t>
      </w:r>
    </w:p>
    <w:p>
      <w:pPr>
        <w:keepNext/>
        <w:spacing w:after="120" w:before="280"/>
        <w:outlineLvl w:val="0"/>
      </w:pPr>
      <w:r>
        <w:rPr>
          <w:rFonts w:ascii="Calibri" w:cs="Calibri" w:eastAsia="Calibri" w:hAnsi="Calibri"/>
          <w:b/>
          <w:bCs/>
          <w:color w:val="14161B"/>
          <w:sz w:val="22"/>
          <w:szCs w:val="22"/>
        </w:rPr>
        <w:t xml:space="preserve">3. PERMITTED DISCLOSURE TO REPRESENTATIVES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Receiving Party may disclose Confidential Information to those of its Representatives who need to know it for the Permitted Purpose, provided that the Receiving Party: (a) informs each such Representative of the confidential nature of the information; (b) ensures that each such Representative is bound by obligations of confidentiality no less onerous than those in this Agreement, whether by contract, professional duty or internal policy; and (c) remains liable to the Disclosing Party for any act or omission of its Representatives that would breach this Agreement if done by the Receiving Party.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Receiving Party shall, on written request, provide the Disclosing Party with a list of the Representatives to whom Confidential Information has been disclosed.</w:t>
      </w:r>
    </w:p>
    <w:p>
      <w:pPr>
        <w:keepNext/>
        <w:spacing w:after="120" w:before="280"/>
        <w:outlineLvl w:val="0"/>
      </w:pPr>
      <w:r>
        <w:rPr>
          <w:rFonts w:ascii="Calibri" w:cs="Calibri" w:eastAsia="Calibri" w:hAnsi="Calibri"/>
          <w:b/>
          <w:bCs/>
          <w:color w:val="14161B"/>
          <w:sz w:val="22"/>
          <w:szCs w:val="22"/>
        </w:rPr>
        <w:t xml:space="preserve">4. DISCLOSURE REQUIRED BY LAW</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If the Receiving Party or any of its Representatives is required to disclose any Confidential Information by applicable law, by an order of a court or tribunal of competent jurisdiction, or by a regulatory, tax or governmental authority (including a stock exchange), it may make such disclosure provided that it shall, to the extent legally permitted and practicable: (a) give the Disclosing Party prompt written notice before making the disclosure so that the Disclosing Party may seek protective relief; (b) disclose only that portion of the Confidential Information which it is legally required to disclose, on the advice of counsel; and (c) use reasonable efforts to obtain confidential treatment for the information disclosed.</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Compliance with Clause 4.1 shall not constitute a breach of this Agreement.</w:t>
      </w:r>
    </w:p>
    <w:p>
      <w:pPr>
        <w:keepNext/>
        <w:spacing w:after="120" w:before="280"/>
        <w:outlineLvl w:val="0"/>
      </w:pPr>
      <w:r>
        <w:rPr>
          <w:rFonts w:ascii="Calibri" w:cs="Calibri" w:eastAsia="Calibri" w:hAnsi="Calibri"/>
          <w:b/>
          <w:bCs/>
          <w:color w:val="14161B"/>
          <w:sz w:val="22"/>
          <w:szCs w:val="22"/>
        </w:rPr>
        <w:t xml:space="preserve">5. EXCLUSIONS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obligations in this Agreement do not apply to information which the Receiving Party can demonstrate by contemporaneous written records: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was already lawfully in its possession, without any obligation of confidentiality, before it was disclosed by the Disclosing Party;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is or becomes publicly available otherwise than as a result of a breach of this Agreement or of any other obligation of confidentiality;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is lawfully received from a third party who is free to disclose it without restriction; or</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is independently developed by or for the Receiving Party without use of, reference to or reliance on the Confidential Information.</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 combination of features or items does not fall within an exclusion merely because individual features or items fall within it; the combination itself must also fall within the exclusion.</w:t>
      </w:r>
    </w:p>
    <w:p>
      <w:pPr>
        <w:keepNext/>
        <w:spacing w:after="120" w:before="280"/>
        <w:outlineLvl w:val="0"/>
      </w:pPr>
      <w:r>
        <w:rPr>
          <w:rFonts w:ascii="Calibri" w:cs="Calibri" w:eastAsia="Calibri" w:hAnsi="Calibri"/>
          <w:b/>
          <w:bCs/>
          <w:color w:val="14161B"/>
          <w:sz w:val="22"/>
          <w:szCs w:val="22"/>
        </w:rPr>
        <w:t xml:space="preserve">6. PERSONAL DATA</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To the extent Confidential Information includes personal data within the meaning of the Digital Personal Data Protection Act, 2023 (the "</w:t>
      </w:r>
      <w:r>
        <w:rPr>
          <w:rFonts w:ascii="Calibri" w:cs="Calibri" w:eastAsia="Calibri" w:hAnsi="Calibri"/>
          <w:b/>
          <w:bCs/>
          <w:sz w:val="21"/>
          <w:szCs w:val="21"/>
        </w:rPr>
        <w:t xml:space="preserve">DPDP Act</w:t>
      </w:r>
      <w:r>
        <w:rPr>
          <w:rFonts w:ascii="Calibri" w:cs="Calibri" w:eastAsia="Calibri" w:hAnsi="Calibri"/>
          <w:sz w:val="21"/>
          <w:szCs w:val="21"/>
        </w:rPr>
        <w:t xml:space="preserve">"), each Party shall process such personal data only to the extent necessary for the Permitted Purpose, shall implement reasonable security safeguards to protect it, and shall not further disclose it except as permitted by this Agreement and applicable law.</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Each Party shall promptly notify the other of any personal data breach affecting personal data received under this Agreement, and shall provide the assistance reasonably required for the other Party to discharge its obligations under the DPDP Act and the Digital Personal Data Protection Rules, 2025.</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If the Parties proceed to a relationship under which one Party processes personal data on behalf of the other, they shall enter into a separate data processing agreement recording the obligations required under Section 8(2) of the DPDP Act before any such processing begins.</w:t>
      </w:r>
    </w:p>
    <w:p>
      <w:pPr>
        <w:keepNext/>
        <w:spacing w:after="120" w:before="280"/>
        <w:outlineLvl w:val="0"/>
      </w:pPr>
      <w:r>
        <w:rPr>
          <w:rFonts w:ascii="Calibri" w:cs="Calibri" w:eastAsia="Calibri" w:hAnsi="Calibri"/>
          <w:b/>
          <w:bCs/>
          <w:color w:val="14161B"/>
          <w:sz w:val="22"/>
          <w:szCs w:val="22"/>
        </w:rPr>
        <w:t xml:space="preserve">7. NO LICENCE, NO REPRESENTATION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All Confidential Information remains the property of the Disclosing Party. Nothing in this Agreement transfers or grants to the Receiving Party any right, title, interest or licence in or to any Confidential Information, or in or to any patent, copyright, trade mark, design, trade secret or other intellectual property right of the Disclosing Party, whether by implication, estoppel or otherwise.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Disclosing Party makes no representation or warranty, express or implied, as to the accuracy, completeness or fitness for any purpose of the Confidential Information. Neither Party shall have any liability to the other arising from the use of, or reliance on, Confidential Information, except as expressly provided in this Agreement. This Clause does not limit liability for fraud or fraudulent misrepresentation.</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Any representation or warranty in relation to the subject matter of the Purpose shall be given, if at all, only in a definitive agreement executed between the Parties.</w:t>
      </w:r>
    </w:p>
    <w:p>
      <w:pPr>
        <w:keepNext/>
        <w:spacing w:after="120" w:before="280"/>
        <w:outlineLvl w:val="0"/>
      </w:pPr>
      <w:r>
        <w:rPr>
          <w:rFonts w:ascii="Calibri" w:cs="Calibri" w:eastAsia="Calibri" w:hAnsi="Calibri"/>
          <w:b/>
          <w:bCs/>
          <w:color w:val="14161B"/>
          <w:sz w:val="22"/>
          <w:szCs w:val="22"/>
        </w:rPr>
        <w:t xml:space="preserve">8. RETURN AND DESTRUCTION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Receiving Party shall,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a written request from the Disclosing Party or of termination of this Agreement (whichever is earlier), at the Disclosing Party’s election either return or securely destroy all Confidential Information and Derived Materials in its possession or control, and shall certify in writing that it has done so.</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Receiving Party may retain: (a) one copy of the Confidential Information to the extent required to comply with applicable law, regulation or the record-retention policy of its professional advisers or auditors; and (b) copies contained in routine electronic back-up or archival systems that cannot be selectively deleted without disproportionate effort, provided that in each case the retained material remains subject to the confidentiality obligations in this Agreement for so long as it is retained, notwithstanding any expiry of the term.</w:t>
      </w:r>
    </w:p>
    <w:p>
      <w:pPr>
        <w:keepNext/>
        <w:spacing w:after="120" w:before="280"/>
        <w:outlineLvl w:val="0"/>
      </w:pPr>
      <w:r>
        <w:rPr>
          <w:rFonts w:ascii="Calibri" w:cs="Calibri" w:eastAsia="Calibri" w:hAnsi="Calibri"/>
          <w:b/>
          <w:bCs/>
          <w:color w:val="14161B"/>
          <w:sz w:val="22"/>
          <w:szCs w:val="22"/>
        </w:rPr>
        <w:t xml:space="preserve">9. TERM AND SURVIVAL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This Agreement takes effect on the date stated above and continues for </w:t>
      </w:r>
      <w:r>
        <w:rPr>
          <w:rFonts w:ascii="Calibri" w:cs="Calibri" w:eastAsia="Calibri" w:hAnsi="Calibri"/>
          <w:b/>
          <w:bCs/>
          <w:sz w:val="21"/>
          <w:szCs w:val="21"/>
        </w:rPr>
        <w:t xml:space="preserve">[TERM — e.g. two (2) years]</w:t>
      </w:r>
      <w:r>
        <w:rPr>
          <w:rFonts w:ascii="Calibri" w:cs="Calibri" w:eastAsia="Calibri" w:hAnsi="Calibri"/>
          <w:sz w:val="21"/>
          <w:szCs w:val="21"/>
        </w:rPr>
        <w:t xml:space="preserve">, unless earlier terminated by either Party on </w:t>
      </w:r>
      <w:r>
        <w:rPr>
          <w:rFonts w:ascii="Calibri" w:cs="Calibri" w:eastAsia="Calibri" w:hAnsi="Calibri"/>
          <w:b/>
          <w:bCs/>
          <w:sz w:val="21"/>
          <w:szCs w:val="21"/>
        </w:rPr>
        <w:t xml:space="preserve">[NOTICE PERIOD]</w:t>
      </w:r>
      <w:r>
        <w:rPr>
          <w:rFonts w:ascii="Calibri" w:cs="Calibri" w:eastAsia="Calibri" w:hAnsi="Calibri"/>
          <w:sz w:val="21"/>
          <w:szCs w:val="21"/>
        </w:rPr>
        <w:t xml:space="preserve"> days’ written notice to the other.</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The confidentiality obligations in this Agreement shall survive expiry or termination and continue for a period of </w:t>
      </w:r>
      <w:r>
        <w:rPr>
          <w:rFonts w:ascii="Calibri" w:cs="Calibri" w:eastAsia="Calibri" w:hAnsi="Calibri"/>
          <w:b/>
          <w:bCs/>
          <w:sz w:val="21"/>
          <w:szCs w:val="21"/>
        </w:rPr>
        <w:t xml:space="preserve">[SURVIVAL PERIOD — e.g. three (3) years]</w:t>
      </w:r>
      <w:r>
        <w:rPr>
          <w:rFonts w:ascii="Calibri" w:cs="Calibri" w:eastAsia="Calibri" w:hAnsi="Calibri"/>
          <w:sz w:val="21"/>
          <w:szCs w:val="21"/>
        </w:rPr>
        <w:t xml:space="preserve"> from the date of expiry or termination, except that in respect of information that constitutes a trade secret or source code, the obligations shall continue for so long as the information retains the character of a trade secret.</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i/>
          <w:iCs/>
          <w:color w:val="6E7480"/>
          <w:sz w:val="21"/>
          <w:szCs w:val="21"/>
        </w:rPr>
        <w:t xml:space="preserve">The term and the survival period are commercial decisions. Two to three years is common for ordinary commercial discussions; longer periods are usual for technology, source code and manufacturing know-how.</w:t>
      </w:r>
    </w:p>
    <w:p>
      <w:pPr>
        <w:keepNext/>
        <w:spacing w:after="120" w:before="280"/>
        <w:outlineLvl w:val="0"/>
      </w:pPr>
      <w:r>
        <w:rPr>
          <w:rFonts w:ascii="Calibri" w:cs="Calibri" w:eastAsia="Calibri" w:hAnsi="Calibri"/>
          <w:b/>
          <w:bCs/>
          <w:color w:val="14161B"/>
          <w:sz w:val="22"/>
          <w:szCs w:val="22"/>
        </w:rPr>
        <w:t xml:space="preserve">10. NO OBLIGATION TO PROCEED</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Nothing in this Agreement obliges either Party to disclose any particular information, to continue discussions, to enter into any further agreement, or to refrain from entering into discussions or arrangements with any third party. Neither Party shall be entitled to any costs, damages or compensation if discussions are discontinued for any reason.</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This Agreement does not create any partnership, joint venture, agency, employment or exclusive relationship between the Parties.</w:t>
      </w:r>
    </w:p>
    <w:p>
      <w:pPr>
        <w:keepNext/>
        <w:spacing w:after="120" w:before="280"/>
        <w:outlineLvl w:val="0"/>
      </w:pPr>
      <w:r>
        <w:rPr>
          <w:rFonts w:ascii="Calibri" w:cs="Calibri" w:eastAsia="Calibri" w:hAnsi="Calibri"/>
          <w:b/>
          <w:bCs/>
          <w:color w:val="14161B"/>
          <w:sz w:val="22"/>
          <w:szCs w:val="22"/>
        </w:rPr>
        <w:t xml:space="preserve">11. NON-SOLICITATION</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During the term of this Agreement and for </w:t>
      </w:r>
      <w:r>
        <w:rPr>
          <w:rFonts w:ascii="Calibri" w:cs="Calibri" w:eastAsia="Calibri" w:hAnsi="Calibri"/>
          <w:b/>
          <w:bCs/>
          <w:sz w:val="21"/>
          <w:szCs w:val="21"/>
        </w:rPr>
        <w:t xml:space="preserve">[PERIOD — e.g. twelve (12) months]</w:t>
      </w:r>
      <w:r>
        <w:rPr>
          <w:rFonts w:ascii="Calibri" w:cs="Calibri" w:eastAsia="Calibri" w:hAnsi="Calibri"/>
          <w:sz w:val="21"/>
          <w:szCs w:val="21"/>
        </w:rPr>
        <w:t xml:space="preserve"> thereafter, neither Party shall directly or indirectly solicit for employment or engagement any employee of the other Party with whom it came into contact, or whose identity or role it learned, in connection with the Purpose, without the other Party’s prior written consent.</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Clause 11.1 does not restrict: (a) the placing of general recruitment advertisements not specifically targeted at the other Party’s employees, or the hiring of any person who responds to such advertisements; or (b) the hiring of any person who approaches the hiring Party on his or her own initiative, or who has ceased to be employed by the other Party for at least </w:t>
      </w:r>
      <w:r>
        <w:rPr>
          <w:rFonts w:ascii="Calibri" w:cs="Calibri" w:eastAsia="Calibri" w:hAnsi="Calibri"/>
          <w:b/>
          <w:bCs/>
          <w:sz w:val="21"/>
          <w:szCs w:val="21"/>
        </w:rPr>
        <w:t xml:space="preserve">[NUMBER]</w:t>
      </w:r>
      <w:r>
        <w:rPr>
          <w:rFonts w:ascii="Calibri" w:cs="Calibri" w:eastAsia="Calibri" w:hAnsi="Calibri"/>
          <w:sz w:val="21"/>
          <w:szCs w:val="21"/>
        </w:rPr>
        <w:t xml:space="preserve"> months.</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i/>
          <w:iCs/>
          <w:color w:val="6E7480"/>
          <w:sz w:val="21"/>
          <w:szCs w:val="21"/>
        </w:rPr>
        <w:t xml:space="preserve">This Agreement deliberately contains no post-termination non-compete restriction. Under Section 27 of the Indian Contract Act, 1872, an agreement in restraint of trade is void, and Indian courts have consistently declined to enforce restrictions that operate after a relationship ends (see Percept D’Mark (India) Pvt. Ltd. v. Zaheer Khan, (2006) 4 SCC 227). A narrowly drawn non-solicitation clause of the kind above is materially more likely to be upheld than a non-compete.</w:t>
      </w:r>
    </w:p>
    <w:p>
      <w:pPr>
        <w:keepNext/>
        <w:spacing w:after="120" w:before="280"/>
        <w:outlineLvl w:val="0"/>
      </w:pPr>
      <w:r>
        <w:rPr>
          <w:rFonts w:ascii="Calibri" w:cs="Calibri" w:eastAsia="Calibri" w:hAnsi="Calibri"/>
          <w:b/>
          <w:bCs/>
          <w:color w:val="14161B"/>
          <w:sz w:val="22"/>
          <w:szCs w:val="22"/>
        </w:rPr>
        <w:t xml:space="preserve">12. REMEDIES</w:t>
      </w:r>
    </w:p>
    <w:p>
      <w:pPr>
        <w:spacing w:after="120" w:before="60" w:line="276"/>
        <w:ind w:left="720" w:hanging="720"/>
        <w:jc w:val="both"/>
      </w:pPr>
      <w:r>
        <w:rPr>
          <w:rFonts w:ascii="Calibri" w:cs="Calibri" w:eastAsia="Calibri" w:hAnsi="Calibri"/>
          <w:sz w:val="21"/>
          <w:szCs w:val="21"/>
        </w:rPr>
        <w:t xml:space="preserve">12.1	</w:t>
      </w:r>
      <w:r>
        <w:rPr>
          <w:rFonts w:ascii="Calibri" w:cs="Calibri" w:eastAsia="Calibri" w:hAnsi="Calibri"/>
          <w:sz w:val="21"/>
          <w:szCs w:val="21"/>
        </w:rPr>
        <w:t xml:space="preserve">Each Party acknowledges that damages alone may not be an adequate remedy for a breach of this Agreement and that the Disclosing Party shall be entitled to seek injunctive relief, specific performance and other equitable remedies in respect of any actual or threatened breach, in addition to any other remedy available to it at law.</w:t>
      </w:r>
    </w:p>
    <w:p>
      <w:pPr>
        <w:spacing w:after="120" w:before="60" w:line="276"/>
        <w:ind w:left="720" w:hanging="720"/>
        <w:jc w:val="both"/>
      </w:pPr>
      <w:r>
        <w:rPr>
          <w:rFonts w:ascii="Calibri" w:cs="Calibri" w:eastAsia="Calibri" w:hAnsi="Calibri"/>
          <w:sz w:val="21"/>
          <w:szCs w:val="21"/>
        </w:rPr>
        <w:t xml:space="preserve">12.2	</w:t>
      </w:r>
      <w:r>
        <w:rPr>
          <w:rFonts w:ascii="Calibri" w:cs="Calibri" w:eastAsia="Calibri" w:hAnsi="Calibri"/>
          <w:sz w:val="21"/>
          <w:szCs w:val="21"/>
        </w:rPr>
        <w:t xml:space="preserve">The Parties record that this Agreement is a contract the performance of which involves a continuous duty which the court can supervise for the purposes of the Specific Relief Act, 1963, as amended by the Specific Relief (Amendment) Act, 2018, and that specific performance is the norm rather than an exceptional remedy under Section 10 of that Act.</w:t>
      </w:r>
    </w:p>
    <w:p>
      <w:pPr>
        <w:spacing w:after="120" w:before="60" w:line="276"/>
        <w:ind w:left="720" w:hanging="720"/>
        <w:jc w:val="both"/>
      </w:pPr>
      <w:r>
        <w:rPr>
          <w:rFonts w:ascii="Calibri" w:cs="Calibri" w:eastAsia="Calibri" w:hAnsi="Calibri"/>
          <w:sz w:val="21"/>
          <w:szCs w:val="21"/>
        </w:rPr>
        <w:t xml:space="preserve">12.3	</w:t>
      </w:r>
      <w:r>
        <w:rPr>
          <w:rFonts w:ascii="Calibri" w:cs="Calibri" w:eastAsia="Calibri" w:hAnsi="Calibri"/>
          <w:sz w:val="21"/>
          <w:szCs w:val="21"/>
        </w:rPr>
        <w:t xml:space="preserve">No failure or delay in exercising any right under this Agreement operates as a waiver of that right, and no single or partial exercise precludes any further exercise.</w:t>
      </w:r>
    </w:p>
    <w:p>
      <w:pPr>
        <w:keepNext/>
        <w:spacing w:after="120" w:before="280"/>
        <w:outlineLvl w:val="0"/>
      </w:pPr>
      <w:r>
        <w:rPr>
          <w:rFonts w:ascii="Calibri" w:cs="Calibri" w:eastAsia="Calibri" w:hAnsi="Calibri"/>
          <w:b/>
          <w:bCs/>
          <w:color w:val="14161B"/>
          <w:sz w:val="22"/>
          <w:szCs w:val="22"/>
        </w:rPr>
        <w:t xml:space="preserve">13. NOTICES</w:t>
      </w:r>
    </w:p>
    <w:p>
      <w:pPr>
        <w:spacing w:after="120" w:before="60" w:line="276"/>
        <w:ind w:left="720" w:hanging="720"/>
        <w:jc w:val="both"/>
      </w:pPr>
      <w:r>
        <w:rPr>
          <w:rFonts w:ascii="Calibri" w:cs="Calibri" w:eastAsia="Calibri" w:hAnsi="Calibri"/>
          <w:sz w:val="21"/>
          <w:szCs w:val="21"/>
        </w:rPr>
        <w:t xml:space="preserve">13.1	</w:t>
      </w:r>
      <w:r>
        <w:rPr>
          <w:rFonts w:ascii="Calibri" w:cs="Calibri" w:eastAsia="Calibri" w:hAnsi="Calibri"/>
          <w:sz w:val="21"/>
          <w:szCs w:val="21"/>
        </w:rPr>
        <w:t xml:space="preserve">Any notice under this Agreement shall be in writing in the English language and shall be delivered by hand, by courier, by registered post with acknowledgement due, or by email to the addresses set out below (or such other address as a Party notifies in writing):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349"/>
        <w:gridCol w:w="4144"/>
        <w:gridCol w:w="4145"/>
      </w:tblGrid>
      <w:tr>
        <w:trPr>
          <w:tblHeader/>
        </w:trPr>
        <w:tc>
          <w:tcPr>
            <w:tcW w:type="dxa" w:w="1349"/>
            <w:shd w:fill="EEF1FE" w:color="auto" w:val="clear"/>
            <w:tcMar>
              <w:top w:type="dxa" w:w="70"/>
              <w:left w:type="dxa" w:w="100"/>
              <w:bottom w:type="dxa" w:w="70"/>
              <w:right w:type="dxa" w:w="100"/>
            </w:tcMar>
            <w:vAlign w:val="center"/>
          </w:tcPr>
          <w:p>
            <w:pPr>
              <w:spacing w:after="0" w:line="240"/>
              <w:jc w:val="left"/>
            </w:pPr>
          </w:p>
        </w:tc>
        <w:tc>
          <w:tcPr>
            <w:tcW w:type="dxa" w:w="41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First Party</w:t>
            </w:r>
          </w:p>
        </w:tc>
        <w:tc>
          <w:tcPr>
            <w:tcW w:type="dxa" w:w="41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Second Party</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Attention</w:t>
            </w:r>
          </w:p>
        </w:tc>
        <w:tc>
          <w:tcPr>
            <w:tcW w:type="dxa" w:w="41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DESIGNATION]</w:t>
            </w:r>
          </w:p>
        </w:tc>
        <w:tc>
          <w:tcPr>
            <w:tcW w:type="dxa" w:w="41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DESIGNATION]</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w:t>
            </w:r>
          </w:p>
        </w:tc>
        <w:tc>
          <w:tcPr>
            <w:tcW w:type="dxa" w:w="41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41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Email</w:t>
            </w:r>
          </w:p>
        </w:tc>
        <w:tc>
          <w:tcPr>
            <w:tcW w:type="dxa" w:w="41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41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bl>
    <w:p>
      <w:pPr>
        <w:spacing w:after="120"/>
      </w:pPr>
    </w:p>
    <w:p>
      <w:pPr>
        <w:spacing w:after="120" w:before="60" w:line="276"/>
        <w:ind w:left="720" w:hanging="720"/>
        <w:jc w:val="both"/>
      </w:pPr>
      <w:r>
        <w:rPr>
          <w:rFonts w:ascii="Calibri" w:cs="Calibri" w:eastAsia="Calibri" w:hAnsi="Calibri"/>
          <w:sz w:val="21"/>
          <w:szCs w:val="21"/>
        </w:rPr>
        <w:t xml:space="preserve">13.2	</w:t>
      </w:r>
      <w:r>
        <w:rPr>
          <w:rFonts w:ascii="Calibri" w:cs="Calibri" w:eastAsia="Calibri" w:hAnsi="Calibri"/>
          <w:sz w:val="21"/>
          <w:szCs w:val="21"/>
        </w:rPr>
        <w:t xml:space="preserve">A notice is deemed received: (a) if delivered by hand or courier, on the date of delivery; (b) if sent by registered post, on the third Business Day after posting; and (c) if sent by email, at the time of transmission, provided no automated delivery-failure message is received and provided that a notice transmitted after 6.00 p.m. on a Business Day, or on a day that is not a Business Day, is deemed received on the next Business Day.</w:t>
      </w:r>
    </w:p>
    <w:p>
      <w:pPr>
        <w:keepNext/>
        <w:spacing w:after="120" w:before="280"/>
        <w:outlineLvl w:val="0"/>
      </w:pPr>
      <w:r>
        <w:rPr>
          <w:rFonts w:ascii="Calibri" w:cs="Calibri" w:eastAsia="Calibri" w:hAnsi="Calibri"/>
          <w:b/>
          <w:bCs/>
          <w:color w:val="14161B"/>
          <w:sz w:val="22"/>
          <w:szCs w:val="22"/>
        </w:rPr>
        <w:t xml:space="preserve">14. GOVERNING LAW AND DISPUTE RESOLUTION</w:t>
      </w:r>
    </w:p>
    <w:p>
      <w:pPr>
        <w:spacing w:after="120" w:before="60" w:line="276"/>
        <w:ind w:left="720" w:hanging="720"/>
        <w:jc w:val="both"/>
      </w:pPr>
      <w:r>
        <w:rPr>
          <w:rFonts w:ascii="Calibri" w:cs="Calibri" w:eastAsia="Calibri" w:hAnsi="Calibri"/>
          <w:sz w:val="21"/>
          <w:szCs w:val="21"/>
        </w:rPr>
        <w:t xml:space="preserve">14.1	</w:t>
      </w:r>
      <w:r>
        <w:rPr>
          <w:rFonts w:ascii="Calibri" w:cs="Calibri" w:eastAsia="Calibri" w:hAnsi="Calibri"/>
          <w:sz w:val="21"/>
          <w:szCs w:val="21"/>
        </w:rPr>
        <w:t xml:space="preserve">This Agreement and any dispute or claim arising out of or in connection with it (including non-contractual disputes) shall be governed by and construed in accordance with the laws of India.</w:t>
      </w:r>
    </w:p>
    <w:p>
      <w:pPr>
        <w:spacing w:after="120" w:before="60" w:line="276"/>
        <w:ind w:left="720" w:hanging="720"/>
        <w:jc w:val="both"/>
      </w:pPr>
      <w:r>
        <w:rPr>
          <w:rFonts w:ascii="Calibri" w:cs="Calibri" w:eastAsia="Calibri" w:hAnsi="Calibri"/>
          <w:sz w:val="21"/>
          <w:szCs w:val="21"/>
        </w:rPr>
        <w:t xml:space="preserve">14.2	</w:t>
      </w:r>
      <w:r>
        <w:rPr>
          <w:rFonts w:ascii="Calibri" w:cs="Calibri" w:eastAsia="Calibri" w:hAnsi="Calibri"/>
          <w:sz w:val="21"/>
          <w:szCs w:val="21"/>
        </w:rPr>
        <w:t xml:space="preserve">The Parties shall first attempt in good faith to resolve any dispute by discussion between senior representatives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written notice of the dispute.</w:t>
      </w:r>
    </w:p>
    <w:p>
      <w:pPr>
        <w:spacing w:after="120" w:before="60" w:line="276"/>
        <w:ind w:left="720" w:hanging="720"/>
        <w:jc w:val="both"/>
      </w:pPr>
      <w:r>
        <w:rPr>
          <w:rFonts w:ascii="Calibri" w:cs="Calibri" w:eastAsia="Calibri" w:hAnsi="Calibri"/>
          <w:sz w:val="21"/>
          <w:szCs w:val="21"/>
        </w:rPr>
        <w:t xml:space="preserve">14.3	</w:t>
      </w:r>
      <w:r>
        <w:rPr>
          <w:rFonts w:ascii="Calibri" w:cs="Calibri" w:eastAsia="Calibri" w:hAnsi="Calibri"/>
          <w:sz w:val="21"/>
          <w:szCs w:val="21"/>
        </w:rPr>
        <w:t xml:space="preserve">Any dispute not so resolved shall be referred to and finally resolved by arbitration under the Arbitration and Conciliation Act, 1996 by a sole arbitrator appointed by agreement between the Parties, failing which by the court having jurisdiction under Section 11 of that Act. The seat and venue of arbitration shall be </w:t>
      </w:r>
      <w:r>
        <w:rPr>
          <w:rFonts w:ascii="Calibri" w:cs="Calibri" w:eastAsia="Calibri" w:hAnsi="Calibri"/>
          <w:b/>
          <w:bCs/>
          <w:sz w:val="21"/>
          <w:szCs w:val="21"/>
        </w:rPr>
        <w:t xml:space="preserve">[CITY]</w:t>
      </w:r>
      <w:r>
        <w:rPr>
          <w:rFonts w:ascii="Calibri" w:cs="Calibri" w:eastAsia="Calibri" w:hAnsi="Calibri"/>
          <w:sz w:val="21"/>
          <w:szCs w:val="21"/>
        </w:rPr>
        <w:t xml:space="preserve">, India, and the language of the arbitration shall be English. The arbitral award shall be final and binding.</w:t>
      </w:r>
    </w:p>
    <w:p>
      <w:pPr>
        <w:spacing w:after="120" w:before="60" w:line="276"/>
        <w:ind w:left="720" w:hanging="720"/>
        <w:jc w:val="both"/>
      </w:pPr>
      <w:r>
        <w:rPr>
          <w:rFonts w:ascii="Calibri" w:cs="Calibri" w:eastAsia="Calibri" w:hAnsi="Calibri"/>
          <w:sz w:val="21"/>
          <w:szCs w:val="21"/>
        </w:rPr>
        <w:t xml:space="preserve">14.4	</w:t>
      </w:r>
      <w:r>
        <w:rPr>
          <w:rFonts w:ascii="Calibri" w:cs="Calibri" w:eastAsia="Calibri" w:hAnsi="Calibri"/>
          <w:sz w:val="21"/>
          <w:szCs w:val="21"/>
        </w:rPr>
        <w:t xml:space="preserve">Nothing in Clause 14.3 prevents either Party from applying to a court of competent jurisdiction for interim or conservatory relief, including under Section 9 of the Arbitration and Conciliation Act, 1996. Subject to Clause 14.3,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exclusive jurisdiction.</w:t>
      </w:r>
    </w:p>
    <w:p>
      <w:pPr>
        <w:keepNext/>
        <w:spacing w:after="120" w:before="280"/>
        <w:outlineLvl w:val="0"/>
      </w:pPr>
      <w:r>
        <w:rPr>
          <w:rFonts w:ascii="Calibri" w:cs="Calibri" w:eastAsia="Calibri" w:hAnsi="Calibri"/>
          <w:b/>
          <w:bCs/>
          <w:color w:val="14161B"/>
          <w:sz w:val="22"/>
          <w:szCs w:val="22"/>
        </w:rPr>
        <w:t xml:space="preserve">15. MISCELLANEOUS</w:t>
      </w:r>
    </w:p>
    <w:p>
      <w:pPr>
        <w:spacing w:after="120" w:before="60" w:line="276"/>
        <w:ind w:left="720" w:hanging="720"/>
        <w:jc w:val="both"/>
      </w:pPr>
      <w:r>
        <w:rPr>
          <w:rFonts w:ascii="Calibri" w:cs="Calibri" w:eastAsia="Calibri" w:hAnsi="Calibri"/>
          <w:sz w:val="21"/>
          <w:szCs w:val="21"/>
        </w:rPr>
        <w:t xml:space="preserve">15.1	</w:t>
      </w:r>
      <w:r>
        <w:rPr>
          <w:rFonts w:ascii="Calibri" w:cs="Calibri" w:eastAsia="Calibri" w:hAnsi="Calibri"/>
          <w:b/>
          <w:bCs/>
          <w:sz w:val="21"/>
          <w:szCs w:val="21"/>
        </w:rPr>
        <w:t xml:space="preserve">Entire agreement.</w:t>
      </w:r>
      <w:r>
        <w:rPr>
          <w:rFonts w:ascii="Calibri" w:cs="Calibri" w:eastAsia="Calibri" w:hAnsi="Calibri"/>
          <w:sz w:val="21"/>
          <w:szCs w:val="21"/>
        </w:rPr>
        <w:t xml:space="preserve"> This Agreement constitutes the entire agreement between the Parties in relation to its subject matter and supersedes all prior discussions, understandings and arrangements, whether written or oral, relating to the confidentiality of information exchanged for the Purpose.</w:t>
      </w:r>
    </w:p>
    <w:p>
      <w:pPr>
        <w:spacing w:after="120" w:before="60" w:line="276"/>
        <w:ind w:left="720" w:hanging="720"/>
        <w:jc w:val="both"/>
      </w:pPr>
      <w:r>
        <w:rPr>
          <w:rFonts w:ascii="Calibri" w:cs="Calibri" w:eastAsia="Calibri" w:hAnsi="Calibri"/>
          <w:sz w:val="21"/>
          <w:szCs w:val="21"/>
        </w:rPr>
        <w:t xml:space="preserve">15.2	</w:t>
      </w:r>
      <w:r>
        <w:rPr>
          <w:rFonts w:ascii="Calibri" w:cs="Calibri" w:eastAsia="Calibri" w:hAnsi="Calibri"/>
          <w:b/>
          <w:bCs/>
          <w:sz w:val="21"/>
          <w:szCs w:val="21"/>
        </w:rPr>
        <w:t xml:space="preserve">Amendment.</w:t>
      </w:r>
      <w:r>
        <w:rPr>
          <w:rFonts w:ascii="Calibri" w:cs="Calibri" w:eastAsia="Calibri" w:hAnsi="Calibri"/>
          <w:sz w:val="21"/>
          <w:szCs w:val="21"/>
        </w:rPr>
        <w:t xml:space="preserve"> No amendment to this Agreement is effective unless in writing and signed by or on behalf of both Parties.</w:t>
      </w:r>
    </w:p>
    <w:p>
      <w:pPr>
        <w:spacing w:after="120" w:before="60" w:line="276"/>
        <w:ind w:left="720" w:hanging="720"/>
        <w:jc w:val="both"/>
      </w:pPr>
      <w:r>
        <w:rPr>
          <w:rFonts w:ascii="Calibri" w:cs="Calibri" w:eastAsia="Calibri" w:hAnsi="Calibri"/>
          <w:sz w:val="21"/>
          <w:szCs w:val="21"/>
        </w:rPr>
        <w:t xml:space="preserve">15.3	</w:t>
      </w:r>
      <w:r>
        <w:rPr>
          <w:rFonts w:ascii="Calibri" w:cs="Calibri" w:eastAsia="Calibri" w:hAnsi="Calibri"/>
          <w:b/>
          <w:bCs/>
          <w:sz w:val="21"/>
          <w:szCs w:val="21"/>
        </w:rPr>
        <w:t xml:space="preserve">Assignment.</w:t>
      </w:r>
      <w:r>
        <w:rPr>
          <w:rFonts w:ascii="Calibri" w:cs="Calibri" w:eastAsia="Calibri" w:hAnsi="Calibri"/>
          <w:sz w:val="21"/>
          <w:szCs w:val="21"/>
        </w:rPr>
        <w:t xml:space="preserve"> Neither Party may assign or transfer any of its rights or obligations under this Agreement without the prior written consent of the other Party, except to an Affiliate or to a successor in a merger, amalgamation or sale of substantially all of its business, in which case notice shall be given to the other Party.</w:t>
      </w:r>
    </w:p>
    <w:p>
      <w:pPr>
        <w:spacing w:after="120" w:before="60" w:line="276"/>
        <w:ind w:left="720" w:hanging="720"/>
        <w:jc w:val="both"/>
      </w:pPr>
      <w:r>
        <w:rPr>
          <w:rFonts w:ascii="Calibri" w:cs="Calibri" w:eastAsia="Calibri" w:hAnsi="Calibri"/>
          <w:sz w:val="21"/>
          <w:szCs w:val="21"/>
        </w:rPr>
        <w:t xml:space="preserve">15.4	</w:t>
      </w:r>
      <w:r>
        <w:rPr>
          <w:rFonts w:ascii="Calibri" w:cs="Calibri" w:eastAsia="Calibri" w:hAnsi="Calibri"/>
          <w:b/>
          <w:bCs/>
          <w:sz w:val="21"/>
          <w:szCs w:val="21"/>
        </w:rPr>
        <w:t xml:space="preserve">Severability.</w:t>
      </w:r>
      <w:r>
        <w:rPr>
          <w:rFonts w:ascii="Calibri" w:cs="Calibri" w:eastAsia="Calibri" w:hAnsi="Calibri"/>
          <w:sz w:val="21"/>
          <w:szCs w:val="21"/>
        </w:rPr>
        <w:t xml:space="preserve"> If any provision of this Agreement is held to be invalid, illegal or unenforceable, that provision shall be severed and the remaining provisions shall continue in full force. The Parties shall negotiate in good faith to replace the severed provision with a valid provision that achieves, so far as possible, the original commercial intent.</w:t>
      </w:r>
    </w:p>
    <w:p>
      <w:pPr>
        <w:spacing w:after="120" w:before="60" w:line="276"/>
        <w:ind w:left="720" w:hanging="720"/>
        <w:jc w:val="both"/>
      </w:pPr>
      <w:r>
        <w:rPr>
          <w:rFonts w:ascii="Calibri" w:cs="Calibri" w:eastAsia="Calibri" w:hAnsi="Calibri"/>
          <w:sz w:val="21"/>
          <w:szCs w:val="21"/>
        </w:rPr>
        <w:t xml:space="preserve">15.5	</w:t>
      </w:r>
      <w:r>
        <w:rPr>
          <w:rFonts w:ascii="Calibri" w:cs="Calibri" w:eastAsia="Calibri" w:hAnsi="Calibri"/>
          <w:b/>
          <w:bCs/>
          <w:sz w:val="21"/>
          <w:szCs w:val="21"/>
        </w:rPr>
        <w:t xml:space="preserve">Counterparts and electronic execution.</w:t>
      </w:r>
      <w:r>
        <w:rPr>
          <w:rFonts w:ascii="Calibri" w:cs="Calibri" w:eastAsia="Calibri" w:hAnsi="Calibri"/>
          <w:sz w:val="21"/>
          <w:szCs w:val="21"/>
        </w:rPr>
        <w:t xml:space="preserve"> This Agreement may be executed in counterparts, each of which is an original and all of which together constitute one instrument. The Parties agree that this Agreement may be executed by electronic signature, and that an electronic record so signed shall have legal effect under Section 5 of the Information Technology Act, 2000 read with the Second Schedule to that Act. A scanned copy of a manually signed counterpart exchanged by email shall be treated as an original for all purposes.</w:t>
      </w:r>
    </w:p>
    <w:p>
      <w:pPr>
        <w:spacing w:after="120" w:before="60" w:line="276"/>
        <w:ind w:left="720" w:hanging="720"/>
        <w:jc w:val="both"/>
      </w:pPr>
      <w:r>
        <w:rPr>
          <w:rFonts w:ascii="Calibri" w:cs="Calibri" w:eastAsia="Calibri" w:hAnsi="Calibri"/>
          <w:sz w:val="21"/>
          <w:szCs w:val="21"/>
        </w:rPr>
        <w:t xml:space="preserve">15.6	</w:t>
      </w:r>
      <w:r>
        <w:rPr>
          <w:rFonts w:ascii="Calibri" w:cs="Calibri" w:eastAsia="Calibri" w:hAnsi="Calibri"/>
          <w:b/>
          <w:bCs/>
          <w:sz w:val="21"/>
          <w:szCs w:val="21"/>
        </w:rPr>
        <w:t xml:space="preserve">Stamp duty.</w:t>
      </w:r>
      <w:r>
        <w:rPr>
          <w:rFonts w:ascii="Calibri" w:cs="Calibri" w:eastAsia="Calibri" w:hAnsi="Calibri"/>
          <w:sz w:val="21"/>
          <w:szCs w:val="21"/>
        </w:rPr>
        <w:t xml:space="preserve"> Stamp duty payable on this Agreement, if any, shall be borne by </w:t>
      </w:r>
      <w:r>
        <w:rPr>
          <w:rFonts w:ascii="Calibri" w:cs="Calibri" w:eastAsia="Calibri" w:hAnsi="Calibri"/>
          <w:b/>
          <w:bCs/>
          <w:sz w:val="21"/>
          <w:szCs w:val="21"/>
        </w:rPr>
        <w:t xml:space="preserve">[PARTY BEARING STAMP DUTY]</w:t>
      </w:r>
      <w:r>
        <w:rPr>
          <w:rFonts w:ascii="Calibri" w:cs="Calibri" w:eastAsia="Calibri" w:hAnsi="Calibri"/>
          <w:sz w:val="21"/>
          <w:szCs w:val="21"/>
        </w:rPr>
        <w:t xml:space="preserve">. The Parties acknowledge that stamp duty is a State subject and that the rate and manner of stamping vary between States.</w:t>
      </w:r>
    </w:p>
    <w:p>
      <w:pPr>
        <w:spacing w:after="120" w:before="60" w:line="276"/>
        <w:ind w:left="720" w:hanging="720"/>
        <w:jc w:val="both"/>
      </w:pPr>
      <w:r>
        <w:rPr>
          <w:rFonts w:ascii="Calibri" w:cs="Calibri" w:eastAsia="Calibri" w:hAnsi="Calibri"/>
          <w:sz w:val="21"/>
          <w:szCs w:val="21"/>
        </w:rPr>
        <w:t xml:space="preserve">15.7	</w:t>
      </w:r>
      <w:r>
        <w:rPr>
          <w:rFonts w:ascii="Calibri" w:cs="Calibri" w:eastAsia="Calibri" w:hAnsi="Calibri"/>
          <w:b/>
          <w:bCs/>
          <w:sz w:val="21"/>
          <w:szCs w:val="21"/>
        </w:rPr>
        <w:t xml:space="preserve">Costs.</w:t>
      </w:r>
      <w:r>
        <w:rPr>
          <w:rFonts w:ascii="Calibri" w:cs="Calibri" w:eastAsia="Calibri" w:hAnsi="Calibri"/>
          <w:sz w:val="21"/>
          <w:szCs w:val="21"/>
        </w:rPr>
        <w:t xml:space="preserve"> Except as otherwise provided, each Party bears its own costs in connection with the negotiation and execution of this Agreement.</w:t>
      </w:r>
    </w:p>
    <w:p>
      <w:pPr>
        <w:spacing w:after="200"/>
      </w:pPr>
    </w:p>
    <w:p>
      <w:pPr>
        <w:spacing w:after="24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and on behalf of </w:t>
            </w:r>
            <w:r>
              <w:rPr>
                <w:rFonts w:ascii="Calibri" w:cs="Calibri" w:eastAsia="Calibri" w:hAnsi="Calibri"/>
                <w:b/>
                <w:bCs/>
                <w:sz w:val="21"/>
                <w:szCs w:val="21"/>
              </w:rPr>
              <w:t xml:space="preserve">[FIRST PARTY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[AUTHORISED SIGNATORY 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and on behalf of </w:t>
            </w:r>
            <w:r>
              <w:rPr>
                <w:rFonts w:ascii="Calibri" w:cs="Calibri" w:eastAsia="Calibri" w:hAnsi="Calibri"/>
                <w:b/>
                <w:bCs/>
                <w:sz w:val="21"/>
                <w:szCs w:val="21"/>
              </w:rPr>
              <w:t xml:space="preserve">[SECOND PARTY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[AUTHORISED SIGNATORY 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200"/>
      </w:pPr>
    </w:p>
    <w:p>
      <w:pPr>
        <w:spacing w:after="60" w:before="0" w:line="276"/>
        <w:jc w:val="both"/>
      </w:pPr>
      <w:r>
        <w:rPr>
          <w:rFonts w:ascii="Calibri" w:cs="Calibri" w:eastAsia="Calibri" w:hAnsi="Calibri"/>
          <w:sz w:val="21"/>
          <w:szCs w:val="21"/>
        </w:rPr>
        <w:t xml:space="preserve">Witness 1: _______________________________  Witness 2: _______________________________</w:t>
      </w:r>
    </w:p>
    <w:p>
      <w:pPr>
        <w:spacing w:after="120" w:before="0" w:line="276"/>
        <w:jc w:val="both"/>
      </w:pPr>
      <w:r>
        <w:rPr>
          <w:rFonts w:ascii="Calibri" w:cs="Calibri" w:eastAsia="Calibri" w:hAnsi="Calibri"/>
          <w:color w:val="6E7480"/>
          <w:sz w:val="17"/>
          <w:szCs w:val="17"/>
        </w:rPr>
        <w:t xml:space="preserve">Name and address</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Who should sign</w:t>
      </w:r>
    </w:p>
    <w:p>
      <w:pPr>
        <w:spacing w:after="60" w:line="264"/>
        <w:jc w:val="both"/>
      </w:pPr>
      <w:r>
        <w:rPr>
          <w:rFonts w:ascii="Calibri" w:cs="Calibri" w:eastAsia="Calibri" w:hAnsi="Calibri"/>
          <w:sz w:val="19"/>
          <w:szCs w:val="19"/>
        </w:rPr>
        <w:t xml:space="preserve">For a company, the signatory should be a director or an officer authorised by a board resolution. Attach or retain a copy of the authorising resolution — counterparties in diligence frequently ask for it. For an LLP, a designated partner signs. For a partnership firm, a partner signs and binds the firm under Section 19 of the Indian Partnership Act, 1932.</w:t>
      </w:r>
    </w:p>
    <w:p>
      <w:pPr>
        <w:keepNext/>
        <w:spacing w:after="40" w:before="140"/>
      </w:pPr>
      <w:r>
        <w:rPr>
          <w:rFonts w:ascii="Calibri" w:cs="Calibri" w:eastAsia="Calibri" w:hAnsi="Calibri"/>
          <w:b/>
          <w:bCs/>
          <w:color w:val="14161B"/>
          <w:sz w:val="20"/>
          <w:szCs w:val="20"/>
        </w:rPr>
        <w:t xml:space="preserve">Stamp duty</w:t>
      </w:r>
    </w:p>
    <w:p>
      <w:pPr>
        <w:spacing w:after="60" w:line="264"/>
        <w:jc w:val="both"/>
      </w:pPr>
      <w:r>
        <w:rPr>
          <w:rFonts w:ascii="Calibri" w:cs="Calibri" w:eastAsia="Calibri" w:hAnsi="Calibri"/>
          <w:sz w:val="19"/>
          <w:szCs w:val="19"/>
        </w:rPr>
        <w:t xml:space="preserve">An NDA is generally stamped as an agreement not otherwise provided for. The duty is nominal in most States (commonly ₹100–₹500) but the article and rate differ State by State, and duty is payable in the State where the instrument is executed. Executing in one State and using the document in another can attract differential duty under Section 19 of the Indian Stamp Act, 1899 or the corresponding State legislation.</w:t>
      </w:r>
    </w:p>
    <w:p>
      <w:pPr>
        <w:keepNext/>
        <w:spacing w:after="40" w:before="140"/>
      </w:pPr>
      <w:r>
        <w:rPr>
          <w:rFonts w:ascii="Calibri" w:cs="Calibri" w:eastAsia="Calibri" w:hAnsi="Calibri"/>
          <w:b/>
          <w:bCs/>
          <w:color w:val="14161B"/>
          <w:sz w:val="20"/>
          <w:szCs w:val="20"/>
        </w:rPr>
        <w:t xml:space="preserve">No non-compete</w:t>
      </w:r>
    </w:p>
    <w:p>
      <w:pPr>
        <w:spacing w:after="60" w:line="264"/>
        <w:jc w:val="both"/>
      </w:pPr>
      <w:r>
        <w:rPr>
          <w:rFonts w:ascii="Calibri" w:cs="Calibri" w:eastAsia="Calibri" w:hAnsi="Calibri"/>
          <w:sz w:val="19"/>
          <w:szCs w:val="19"/>
        </w:rPr>
        <w:t xml:space="preserve">Do not add a post-termination non-compete clause to this document. Section 27 of the Indian Contract Act, 1872 renders agreements in restraint of trade void, subject only to the narrow statutory exception for the sale of goodwill. A non-solicitation clause limited in time and scope, of the kind at Clause 11, is the enforceable alternative.</w:t>
      </w:r>
    </w:p>
    <w:p>
      <w:pPr>
        <w:keepNext/>
        <w:spacing w:after="40" w:before="140"/>
      </w:pPr>
      <w:r>
        <w:rPr>
          <w:rFonts w:ascii="Calibri" w:cs="Calibri" w:eastAsia="Calibri" w:hAnsi="Calibri"/>
          <w:b/>
          <w:bCs/>
          <w:color w:val="14161B"/>
          <w:sz w:val="20"/>
          <w:szCs w:val="20"/>
        </w:rPr>
        <w:t xml:space="preserve">Marking information</w:t>
      </w:r>
    </w:p>
    <w:p>
      <w:pPr>
        <w:spacing w:after="60" w:line="264"/>
        <w:jc w:val="both"/>
      </w:pPr>
      <w:r>
        <w:rPr>
          <w:rFonts w:ascii="Calibri" w:cs="Calibri" w:eastAsia="Calibri" w:hAnsi="Calibri"/>
          <w:sz w:val="19"/>
          <w:szCs w:val="19"/>
        </w:rPr>
        <w:t xml:space="preserve">This Agreement protects information whether or not it is marked confidential, which is the safer position for a disclosing party. If you prefer a marking requirement, amend the definition of Confidential Information — but be aware that oral disclosures then need to be confirmed in writing within a fixed window, and in practice that step is often missed.</w:t>
      </w:r>
    </w:p>
    <w:p>
      <w:pPr>
        <w:keepNext/>
        <w:spacing w:after="40" w:before="140"/>
      </w:pPr>
      <w:r>
        <w:rPr>
          <w:rFonts w:ascii="Calibri" w:cs="Calibri" w:eastAsia="Calibri" w:hAnsi="Calibri"/>
          <w:b/>
          <w:bCs/>
          <w:color w:val="14161B"/>
          <w:sz w:val="20"/>
          <w:szCs w:val="20"/>
        </w:rPr>
        <w:t xml:space="preserve">Term versus survival</w:t>
      </w:r>
    </w:p>
    <w:p>
      <w:pPr>
        <w:spacing w:after="60" w:line="264"/>
        <w:jc w:val="both"/>
      </w:pPr>
      <w:r>
        <w:rPr>
          <w:rFonts w:ascii="Calibri" w:cs="Calibri" w:eastAsia="Calibri" w:hAnsi="Calibri"/>
          <w:sz w:val="19"/>
          <w:szCs w:val="19"/>
        </w:rPr>
        <w:t xml:space="preserve">Clause 9 separates the term of the Agreement (how long new disclosures are covered) from the survival period (how long the duty of confidence lasts). Keep both. A single "two-year agreement" is frequently read as protecting information for only two years from disclosure, which is rarely what the disclosing party intends.</w:t>
      </w:r>
    </w:p>
    <w:p>
      <w:pPr>
        <w:keepNext/>
        <w:spacing w:after="40" w:before="140"/>
      </w:pPr>
      <w:r>
        <w:rPr>
          <w:rFonts w:ascii="Calibri" w:cs="Calibri" w:eastAsia="Calibri" w:hAnsi="Calibri"/>
          <w:b/>
          <w:bCs/>
          <w:color w:val="14161B"/>
          <w:sz w:val="20"/>
          <w:szCs w:val="20"/>
        </w:rPr>
        <w:t xml:space="preserve">If personal data will be shared</w:t>
      </w:r>
    </w:p>
    <w:p>
      <w:pPr>
        <w:spacing w:after="60" w:line="264"/>
        <w:jc w:val="both"/>
      </w:pPr>
      <w:r>
        <w:rPr>
          <w:rFonts w:ascii="Calibri" w:cs="Calibri" w:eastAsia="Calibri" w:hAnsi="Calibri"/>
          <w:sz w:val="19"/>
          <w:szCs w:val="19"/>
        </w:rPr>
        <w:t xml:space="preserve">Clause 6 is an interface clause only. Once a Party begins processing personal data on the other’s behalf, Section 8(2) of the DPDP Act, 2023 requires a valid contract between the Data Fiduciary and the Data Processor. Use a separate Data Processing Agreement for that; the substantive DPDP obligations become enforceable from 13 May 2027, but contracts signed now should already be compliant.</w:t>
      </w:r>
    </w:p>
    <w:p>
      <w:pPr>
        <w:keepNext/>
        <w:spacing w:after="40" w:before="140"/>
      </w:pPr>
      <w:r>
        <w:rPr>
          <w:rFonts w:ascii="Calibri" w:cs="Calibri" w:eastAsia="Calibri" w:hAnsi="Calibri"/>
          <w:b/>
          <w:bCs/>
          <w:color w:val="14161B"/>
          <w:sz w:val="20"/>
          <w:szCs w:val="20"/>
        </w:rPr>
        <w:t xml:space="preserve">Arbitration seat</w:t>
      </w:r>
    </w:p>
    <w:p>
      <w:pPr>
        <w:spacing w:after="60" w:line="264"/>
        <w:jc w:val="both"/>
      </w:pPr>
      <w:r>
        <w:rPr>
          <w:rFonts w:ascii="Calibri" w:cs="Calibri" w:eastAsia="Calibri" w:hAnsi="Calibri"/>
          <w:sz w:val="19"/>
          <w:szCs w:val="19"/>
        </w:rPr>
        <w:t xml:space="preserve">Choose the seat deliberately — it determines which court supervises the arbitration. Naming a city where neither Party has a presence adds cost. If the amount at stake is small, consider deleting arbitration and relying on the courts at Clause 14.4 instead.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This template 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Verify the position before you rely on it, particularly on stamp duty, which changes with State budgets.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2026-08-21T12:53:52.218Z</dcterms:created>
  <dcterms:modified xsi:type="dcterms:W3CDTF">2026-08-21T12:53:52.229Z</dcterms:modified>
</cp:coreProperties>
</file>

<file path=docProps/custom.xml><?xml version="1.0" encoding="utf-8"?>
<Properties xmlns="http://schemas.openxmlformats.org/officeDocument/2006/custom-properties" xmlns:vt="http://schemas.openxmlformats.org/officeDocument/2006/docPropsVTypes"/>
</file>