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MASTER SERVICES AGREEMENT</w:t>
      </w:r>
    </w:p>
    <w:p>
      <w:pPr>
        <w:spacing w:after="260"/>
        <w:jc w:val="center"/>
      </w:pPr>
      <w:r>
        <w:rPr>
          <w:rFonts w:ascii="Calibri" w:cs="Calibri" w:eastAsia="Calibri" w:hAnsi="Calibri"/>
          <w:i/>
          <w:iCs/>
          <w:color w:val="6E7480"/>
          <w:sz w:val="19"/>
          <w:szCs w:val="19"/>
        </w:rPr>
        <w:t xml:space="preserve">With Statement of Work, Service Levels and Charges schedules</w:t>
      </w:r>
    </w:p>
    <w:p>
      <w:pPr>
        <w:spacing w:after="180" w:before="0" w:line="276"/>
        <w:jc w:val="both"/>
      </w:pPr>
      <w:r>
        <w:rPr>
          <w:rFonts w:ascii="Calibri" w:cs="Calibri" w:eastAsia="Calibri" w:hAnsi="Calibri"/>
          <w:i/>
          <w:iCs/>
          <w:color w:val="6E7480"/>
          <w:sz w:val="21"/>
          <w:szCs w:val="21"/>
        </w:rPr>
        <w:t xml:space="preserve">The master agreement carries the legal terms and the statement of work carries the commercial ones. Keep that split: renegotiating liability every time a new project starts is what this structure exists to prevent, and a statement of work that quietly varies the master terms defeats it.</w:t>
      </w:r>
    </w:p>
    <w:p>
      <w:pPr>
        <w:spacing w:after="160" w:before="0" w:line="276"/>
        <w:jc w:val="both"/>
      </w:pPr>
      <w:r>
        <w:rPr>
          <w:rFonts w:ascii="Calibri" w:cs="Calibri" w:eastAsia="Calibri" w:hAnsi="Calibri"/>
          <w:sz w:val="21"/>
          <w:szCs w:val="21"/>
        </w:rPr>
        <w:t xml:space="preserve">This Master Services Agreement (this "</w:t>
      </w:r>
      <w:r>
        <w:rPr>
          <w:rFonts w:ascii="Calibri" w:cs="Calibri" w:eastAsia="Calibri" w:hAnsi="Calibri"/>
          <w:b/>
          <w:bCs/>
          <w:sz w:val="21"/>
          <w:szCs w:val="21"/>
        </w:rPr>
        <w:t xml:space="preserve">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Effective 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[CLIENT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and PAN </w:t>
      </w:r>
      <w:r>
        <w:rPr>
          <w:rFonts w:ascii="Calibri" w:cs="Calibri" w:eastAsia="Calibri" w:hAnsi="Calibri"/>
          <w:b/>
          <w:bCs/>
          <w:sz w:val="21"/>
          <w:szCs w:val="21"/>
        </w:rPr>
        <w:t xml:space="preserve">[PAN]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Client</w:t>
      </w:r>
      <w:r>
        <w:rPr>
          <w:rFonts w:ascii="Calibri" w:cs="Calibri" w:eastAsia="Calibri" w:hAnsi="Calibri"/>
          <w:sz w:val="21"/>
          <w:szCs w:val="21"/>
        </w:rPr>
        <w:t xml:space="preserve">") of the ONE PART;</w:t>
      </w:r>
    </w:p>
    <w:p>
      <w:pPr>
        <w:spacing w:after="100" w:before="0" w:line="276"/>
        <w:jc w:val="both"/>
      </w:pPr>
      <w:r>
        <w:rPr>
          <w:rFonts w:ascii="Calibri" w:cs="Calibri" w:eastAsia="Calibri" w:hAnsi="Calibri"/>
          <w:b/>
          <w:bCs/>
          <w:sz w:val="21"/>
          <w:szCs w:val="21"/>
        </w:rPr>
        <w:t xml:space="preserve">AND</w:t>
      </w:r>
    </w:p>
    <w:p>
      <w:pPr>
        <w:spacing w:after="160" w:before="0" w:line="276"/>
        <w:jc w:val="both"/>
      </w:pPr>
      <w:r>
        <w:rPr>
          <w:rFonts w:ascii="Calibri" w:cs="Calibri" w:eastAsia="Calibri" w:hAnsi="Calibri"/>
          <w:b/>
          <w:bCs/>
          <w:sz w:val="21"/>
          <w:szCs w:val="21"/>
        </w:rPr>
        <w:t xml:space="preserve">[SERVICE PROVIDER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and PAN </w:t>
      </w:r>
      <w:r>
        <w:rPr>
          <w:rFonts w:ascii="Calibri" w:cs="Calibri" w:eastAsia="Calibri" w:hAnsi="Calibri"/>
          <w:b/>
          <w:bCs/>
          <w:sz w:val="21"/>
          <w:szCs w:val="21"/>
        </w:rPr>
        <w:t xml:space="preserve">[PAN]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Service Provider</w:t>
      </w:r>
      <w:r>
        <w:rPr>
          <w:rFonts w:ascii="Calibri" w:cs="Calibri" w:eastAsia="Calibri" w:hAnsi="Calibri"/>
          <w:sz w:val="21"/>
          <w:szCs w:val="21"/>
        </w:rPr>
        <w:t xml:space="preserve">") of the OTHER PART.</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Client requires services of the nature described in the Statements of Work to be entered into under this Agreement.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Service Provider represents that it has the skill, personnel, infrastructure, licences and experience required to provide such services.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wish to record the master terms that will govern all such services, with commercial and delivery particulars to be set out in individual Statements of Work.</w:t>
      </w:r>
    </w:p>
    <w:p>
      <w:pPr>
        <w:spacing w:after="120" w:before="120" w:line="276"/>
        <w:jc w:val="both"/>
      </w:pPr>
      <w:r>
        <w:rPr>
          <w:rFonts w:ascii="Calibri" w:cs="Calibri" w:eastAsia="Calibri" w:hAnsi="Calibri"/>
          <w:sz w:val="21"/>
          <w:szCs w:val="21"/>
        </w:rPr>
        <w:t xml:space="preserve">NOW THEREFORE the Parties agree as follows:</w:t>
      </w:r>
    </w:p>
    <w:p>
      <w:pPr>
        <w:keepNext/>
        <w:spacing w:after="120" w:before="280"/>
        <w:outlineLvl w:val="0"/>
      </w:pPr>
      <w:r>
        <w:rPr>
          <w:rFonts w:ascii="Calibri" w:cs="Calibri" w:eastAsia="Calibri" w:hAnsi="Calibri"/>
          <w:b/>
          <w:bCs/>
          <w:color w:val="14161B"/>
          <w:sz w:val="22"/>
          <w:szCs w:val="22"/>
        </w:rPr>
        <w:t xml:space="preserve">1. DEFINITIONS AND INTERPRETATION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t>
      </w:r>
      <w:r>
        <w:rPr>
          <w:rFonts w:ascii="Calibri" w:cs="Calibri" w:eastAsia="Calibri" w:hAnsi="Calibri"/>
          <w:b/>
          <w:bCs/>
          <w:sz w:val="21"/>
          <w:szCs w:val="21"/>
        </w:rPr>
        <w:t xml:space="preserve">Acceptance</w:t>
      </w:r>
      <w:r>
        <w:rPr>
          <w:rFonts w:ascii="Calibri" w:cs="Calibri" w:eastAsia="Calibri" w:hAnsi="Calibri"/>
          <w:sz w:val="21"/>
          <w:szCs w:val="21"/>
        </w:rPr>
        <w:t xml:space="preserve">" means acceptance of a Deliverable in accordance with Clause 6, and "</w:t>
      </w:r>
      <w:r>
        <w:rPr>
          <w:rFonts w:ascii="Calibri" w:cs="Calibri" w:eastAsia="Calibri" w:hAnsi="Calibri"/>
          <w:b/>
          <w:bCs/>
          <w:sz w:val="21"/>
          <w:szCs w:val="21"/>
        </w:rPr>
        <w:t xml:space="preserve">Accept</w:t>
      </w:r>
      <w:r>
        <w:rPr>
          <w:rFonts w:ascii="Calibri" w:cs="Calibri" w:eastAsia="Calibri" w:hAnsi="Calibri"/>
          <w:sz w:val="21"/>
          <w:szCs w:val="21"/>
        </w:rPr>
        <w:t xml:space="preserve">" and "</w:t>
      </w:r>
      <w:r>
        <w:rPr>
          <w:rFonts w:ascii="Calibri" w:cs="Calibri" w:eastAsia="Calibri" w:hAnsi="Calibri"/>
          <w:b/>
          <w:bCs/>
          <w:sz w:val="21"/>
          <w:szCs w:val="21"/>
        </w:rPr>
        <w:t xml:space="preserve">Accepted</w:t>
      </w:r>
      <w:r>
        <w:rPr>
          <w:rFonts w:ascii="Calibri" w:cs="Calibri" w:eastAsia="Calibri" w:hAnsi="Calibri"/>
          <w:sz w:val="21"/>
          <w:szCs w:val="21"/>
        </w:rPr>
        <w:t xml:space="preserve">" are construed accordingly;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w:t>
      </w:r>
      <w:r>
        <w:rPr>
          <w:rFonts w:ascii="Calibri" w:cs="Calibri" w:eastAsia="Calibri" w:hAnsi="Calibri"/>
          <w:b/>
          <w:bCs/>
          <w:sz w:val="21"/>
          <w:szCs w:val="21"/>
        </w:rPr>
        <w:t xml:space="preserve">Background IP</w:t>
      </w:r>
      <w:r>
        <w:rPr>
          <w:rFonts w:ascii="Calibri" w:cs="Calibri" w:eastAsia="Calibri" w:hAnsi="Calibri"/>
          <w:sz w:val="21"/>
          <w:szCs w:val="21"/>
        </w:rPr>
        <w:t xml:space="preserve">" means intellectual property owned by or licensed to a Party as at the Effective Date, or created independently of this Agreement, together with all modifications and enhancements to it;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w:t>
      </w:r>
      <w:r>
        <w:rPr>
          <w:rFonts w:ascii="Calibri" w:cs="Calibri" w:eastAsia="Calibri" w:hAnsi="Calibri"/>
          <w:b/>
          <w:bCs/>
          <w:sz w:val="21"/>
          <w:szCs w:val="21"/>
        </w:rPr>
        <w:t xml:space="preserve">Business Day</w:t>
      </w:r>
      <w:r>
        <w:rPr>
          <w:rFonts w:ascii="Calibri" w:cs="Calibri" w:eastAsia="Calibri" w:hAnsi="Calibri"/>
          <w:sz w:val="21"/>
          <w:szCs w:val="21"/>
        </w:rPr>
        <w:t xml:space="preserve">" means a day (other than a Saturday, Sunday or public holiday) on which banks are open for general business in </w:t>
      </w:r>
      <w:r>
        <w:rPr>
          <w:rFonts w:ascii="Calibri" w:cs="Calibri" w:eastAsia="Calibri" w:hAnsi="Calibri"/>
          <w:b/>
          <w:bCs/>
          <w:sz w:val="21"/>
          <w:szCs w:val="21"/>
        </w:rPr>
        <w:t xml:space="preserve">[CITY]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w:t>
      </w:r>
      <w:r>
        <w:rPr>
          <w:rFonts w:ascii="Calibri" w:cs="Calibri" w:eastAsia="Calibri" w:hAnsi="Calibri"/>
          <w:b/>
          <w:bCs/>
          <w:sz w:val="21"/>
          <w:szCs w:val="21"/>
        </w:rPr>
        <w:t xml:space="preserve">Charges</w:t>
      </w:r>
      <w:r>
        <w:rPr>
          <w:rFonts w:ascii="Calibri" w:cs="Calibri" w:eastAsia="Calibri" w:hAnsi="Calibri"/>
          <w:sz w:val="21"/>
          <w:szCs w:val="21"/>
        </w:rPr>
        <w:t xml:space="preserve">" means the fees and other amounts payable by the Client as set out in the applicable Statement of Work or in Schedule 3;</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w:t>
      </w:r>
      <w:r>
        <w:rPr>
          <w:rFonts w:ascii="Calibri" w:cs="Calibri" w:eastAsia="Calibri" w:hAnsi="Calibri"/>
          <w:b/>
          <w:bCs/>
          <w:sz w:val="21"/>
          <w:szCs w:val="21"/>
        </w:rPr>
        <w:t xml:space="preserve">Deliverable</w:t>
      </w:r>
      <w:r>
        <w:rPr>
          <w:rFonts w:ascii="Calibri" w:cs="Calibri" w:eastAsia="Calibri" w:hAnsi="Calibri"/>
          <w:sz w:val="21"/>
          <w:szCs w:val="21"/>
        </w:rPr>
        <w:t xml:space="preserve">" means any output, report, software, documentation, design or other item that the Service Provider is required to deliver under a Statement of Work;</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w:t>
      </w:r>
      <w:r>
        <w:rPr>
          <w:rFonts w:ascii="Calibri" w:cs="Calibri" w:eastAsia="Calibri" w:hAnsi="Calibri"/>
          <w:b/>
          <w:bCs/>
          <w:sz w:val="21"/>
          <w:szCs w:val="21"/>
        </w:rPr>
        <w:t xml:space="preserve">Foreground IP</w:t>
      </w:r>
      <w:r>
        <w:rPr>
          <w:rFonts w:ascii="Calibri" w:cs="Calibri" w:eastAsia="Calibri" w:hAnsi="Calibri"/>
          <w:sz w:val="21"/>
          <w:szCs w:val="21"/>
        </w:rPr>
        <w:t xml:space="preserve">" means intellectual property created by or on behalf of the Service Provider in the course of performing the Services, including in the Deliverables, but excluding Background IP;</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w:t>
      </w:r>
      <w:r>
        <w:rPr>
          <w:rFonts w:ascii="Calibri" w:cs="Calibri" w:eastAsia="Calibri" w:hAnsi="Calibri"/>
          <w:b/>
          <w:bCs/>
          <w:sz w:val="21"/>
          <w:szCs w:val="21"/>
        </w:rPr>
        <w:t xml:space="preserve">Personnel</w:t>
      </w:r>
      <w:r>
        <w:rPr>
          <w:rFonts w:ascii="Calibri" w:cs="Calibri" w:eastAsia="Calibri" w:hAnsi="Calibri"/>
          <w:sz w:val="21"/>
          <w:szCs w:val="21"/>
        </w:rPr>
        <w:t xml:space="preserve">" means the employees, agents, contractors and subcontractors of a Party engaged in connection with this Agreement;</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w:t>
      </w:r>
      <w:r>
        <w:rPr>
          <w:rFonts w:ascii="Calibri" w:cs="Calibri" w:eastAsia="Calibri" w:hAnsi="Calibri"/>
          <w:b/>
          <w:bCs/>
          <w:sz w:val="21"/>
          <w:szCs w:val="21"/>
        </w:rPr>
        <w:t xml:space="preserve">Services</w:t>
      </w:r>
      <w:r>
        <w:rPr>
          <w:rFonts w:ascii="Calibri" w:cs="Calibri" w:eastAsia="Calibri" w:hAnsi="Calibri"/>
          <w:sz w:val="21"/>
          <w:szCs w:val="21"/>
        </w:rPr>
        <w:t xml:space="preserve">" means the services described in a Statement of Work, together with all activities reasonably necessary or incidental to their proper performance;</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w:t>
      </w:r>
      <w:r>
        <w:rPr>
          <w:rFonts w:ascii="Calibri" w:cs="Calibri" w:eastAsia="Calibri" w:hAnsi="Calibri"/>
          <w:b/>
          <w:bCs/>
          <w:sz w:val="21"/>
          <w:szCs w:val="21"/>
        </w:rPr>
        <w:t xml:space="preserve">Statement of Work</w:t>
      </w:r>
      <w:r>
        <w:rPr>
          <w:rFonts w:ascii="Calibri" w:cs="Calibri" w:eastAsia="Calibri" w:hAnsi="Calibri"/>
          <w:sz w:val="21"/>
          <w:szCs w:val="21"/>
        </w:rPr>
        <w:t xml:space="preserve">" or "</w:t>
      </w:r>
      <w:r>
        <w:rPr>
          <w:rFonts w:ascii="Calibri" w:cs="Calibri" w:eastAsia="Calibri" w:hAnsi="Calibri"/>
          <w:b/>
          <w:bCs/>
          <w:sz w:val="21"/>
          <w:szCs w:val="21"/>
        </w:rPr>
        <w:t xml:space="preserve">SOW</w:t>
      </w:r>
      <w:r>
        <w:rPr>
          <w:rFonts w:ascii="Calibri" w:cs="Calibri" w:eastAsia="Calibri" w:hAnsi="Calibri"/>
          <w:sz w:val="21"/>
          <w:szCs w:val="21"/>
        </w:rPr>
        <w:t xml:space="preserve">" means a document substantially in the form of Schedule 1, executed by both Parties and incorporating the terms of this Agreement;</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w:t>
      </w:r>
      <w:r>
        <w:rPr>
          <w:rFonts w:ascii="Calibri" w:cs="Calibri" w:eastAsia="Calibri" w:hAnsi="Calibri"/>
          <w:b/>
          <w:bCs/>
          <w:sz w:val="21"/>
          <w:szCs w:val="21"/>
        </w:rPr>
        <w:t xml:space="preserve">Service Levels</w:t>
      </w:r>
      <w:r>
        <w:rPr>
          <w:rFonts w:ascii="Calibri" w:cs="Calibri" w:eastAsia="Calibri" w:hAnsi="Calibri"/>
          <w:sz w:val="21"/>
          <w:szCs w:val="21"/>
        </w:rPr>
        <w:t xml:space="preserve">" means the performance standards set out in Schedule 2 or in the applicable SOW.</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Statutory references are to the statute as amended, re-enacted or replaced. Headings do not affect interpretation. "Including" is without limitation. References to writing include email.</w:t>
      </w:r>
    </w:p>
    <w:p>
      <w:pPr>
        <w:keepNext/>
        <w:spacing w:after="120" w:before="280"/>
        <w:outlineLvl w:val="0"/>
      </w:pPr>
      <w:r>
        <w:rPr>
          <w:rFonts w:ascii="Calibri" w:cs="Calibri" w:eastAsia="Calibri" w:hAnsi="Calibri"/>
          <w:b/>
          <w:bCs/>
          <w:color w:val="14161B"/>
          <w:sz w:val="22"/>
          <w:szCs w:val="22"/>
        </w:rPr>
        <w:t xml:space="preserve">2. STRUCTURE OF THE AGREEMENT; ORDER OF PRECEDENCE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Agreement sets out the master terms. No Services are ordered under this Agreement alone; each engagement is ordered by executing a SOW. Each executed SOW forms a separate contract incorporating the terms of this Agreement.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If there is a conflict between documents, the following order of precedence applies, unless the SOW expressly states that a specified clause of this Agreement is varied for that SOW and identifies the clause by number: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this Agreement (excluding its Schedules);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Schedules to this Agreement;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applicable SOW;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any other document referred to in the SOW.</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No terms contained in a purchase order, invoice, acknowledgement, portal click-through or other document issued by either Party shall vary this Agreement, and any such terms are expressly excluded.</w:t>
      </w:r>
    </w:p>
    <w:p>
      <w:pPr>
        <w:keepNext/>
        <w:spacing w:after="120" w:before="280"/>
        <w:outlineLvl w:val="0"/>
      </w:pPr>
      <w:r>
        <w:rPr>
          <w:rFonts w:ascii="Calibri" w:cs="Calibri" w:eastAsia="Calibri" w:hAnsi="Calibri"/>
          <w:b/>
          <w:bCs/>
          <w:color w:val="14161B"/>
          <w:sz w:val="22"/>
          <w:szCs w:val="22"/>
        </w:rPr>
        <w:t xml:space="preserve">3. PROVISION OF THE SERVICES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Service Provider shall provide the Services and deliver the Deliverables in accordance with this Agreement, the applicable SOW and the Service Levels, with reasonable skill, care and diligence and in accordance with good industry practice.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Service Provider shall meet each date specified in a SOW. Where a SOW identifies a date as a "</w:t>
      </w:r>
      <w:r>
        <w:rPr>
          <w:rFonts w:ascii="Calibri" w:cs="Calibri" w:eastAsia="Calibri" w:hAnsi="Calibri"/>
          <w:b/>
          <w:bCs/>
          <w:sz w:val="21"/>
          <w:szCs w:val="21"/>
        </w:rPr>
        <w:t xml:space="preserve">Milestone Date</w:t>
      </w:r>
      <w:r>
        <w:rPr>
          <w:rFonts w:ascii="Calibri" w:cs="Calibri" w:eastAsia="Calibri" w:hAnsi="Calibri"/>
          <w:sz w:val="21"/>
          <w:szCs w:val="21"/>
        </w:rPr>
        <w:t xml:space="preserve">", time is of the essence in relation to that date.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Service Provider shall comply with the Client’s reasonable site, security, information-security and access policies notified to it, and shall procure that its Personnel do the same when working at Client premises or on Client systems.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Service Provider shall not be liable for failure to perform to the extent caused by the Client’s failure to discharge a dependency expressly identified as such in the SOW, provided that the Service Provider: (a) notified the Client promptly on becoming aware of the failure; and (b) used reasonable endeavours to mitigate its effect. Any consequential relief in time or cost shall be agreed through Clause 5.</w:t>
      </w:r>
    </w:p>
    <w:p>
      <w:pPr>
        <w:keepNext/>
        <w:spacing w:after="120" w:before="280"/>
        <w:outlineLvl w:val="0"/>
      </w:pPr>
      <w:r>
        <w:rPr>
          <w:rFonts w:ascii="Calibri" w:cs="Calibri" w:eastAsia="Calibri" w:hAnsi="Calibri"/>
          <w:b/>
          <w:bCs/>
          <w:color w:val="14161B"/>
          <w:sz w:val="22"/>
          <w:szCs w:val="22"/>
        </w:rPr>
        <w:t xml:space="preserve">4. PERSONNEL</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Service Provider shall deploy Personnel with the skills, qualifications and experience necessary to perform the Services, and shall be solely responsible for their remuneration, statutory dues and conditions of service.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Any individual identified in a SOW as a "</w:t>
      </w:r>
      <w:r>
        <w:rPr>
          <w:rFonts w:ascii="Calibri" w:cs="Calibri" w:eastAsia="Calibri" w:hAnsi="Calibri"/>
          <w:b/>
          <w:bCs/>
          <w:sz w:val="21"/>
          <w:szCs w:val="21"/>
        </w:rPr>
        <w:t xml:space="preserve">Key Person</w:t>
      </w:r>
      <w:r>
        <w:rPr>
          <w:rFonts w:ascii="Calibri" w:cs="Calibri" w:eastAsia="Calibri" w:hAnsi="Calibri"/>
          <w:sz w:val="21"/>
          <w:szCs w:val="21"/>
        </w:rPr>
        <w:t xml:space="preserve">" shall not be removed or reassigned by the Service Provider except on death, resignation, prolonged illness, dismissal for cause, or with the Client’s prior written consent. A replacement Key Person shall be of equivalent or better skill and experience and shall be subject to the Client’s prior written approval, not to be unreasonably withheld. A reasonable handover period at the Service Provider’s cost shall be provided.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Service Provider shall conduct background verification of Personnel deployed on the Client’s account to the standard set out in the SOW, and shall provide evidence of such verification on request.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Nothing in this Agreement creates any relationship of employer and employee between the Client and any of the Service Provider’s Personnel. The Service Provider shall comply with all applicable labour and social security legislation in respect of its Personnel, including the Code on Wages, 2019, the Industrial Relations Code, 2020, the Code on Social Security, 2020 and the Occupational Safety, Health and Working Conditions Code, 2020, together with the rules made under them, and shall indemnify the Client against any claim arising from its failure to do so.</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Where the Services involve deployment of Personnel at the Client’s premises, the Service Provider shall obtain and maintain any licence or registration required of a contractor under the Occupational Safety, Health and Working Conditions Code, 2020 and the rules made under it, and shall produce evidence of statutory payments (including provident fund and employees’ state insurance contributions) with each invoice.</w:t>
      </w:r>
    </w:p>
    <w:p>
      <w:pPr>
        <w:keepNext/>
        <w:spacing w:after="120" w:before="280"/>
        <w:outlineLvl w:val="0"/>
      </w:pPr>
      <w:r>
        <w:rPr>
          <w:rFonts w:ascii="Calibri" w:cs="Calibri" w:eastAsia="Calibri" w:hAnsi="Calibri"/>
          <w:b/>
          <w:bCs/>
          <w:color w:val="14161B"/>
          <w:sz w:val="22"/>
          <w:szCs w:val="22"/>
        </w:rPr>
        <w:t xml:space="preserve">5. CHANGE CONTROL</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Either Party may request a change to the Services, Deliverables, timelines or Charges under a SOW by issuing a written change request describing the change sought.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Service Provider shall,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provide a written impact assessment setting out the effect of the proposed change on scope, timelines, Charges, Service Levels, dependencies and assumptions.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No change is binding unless recorded in a change order signed by an authorised representative of each Party. Until a change order is signed, the Parties shall continue to perform in accordance with the existing SOW.</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Service Provider shall not be entitled to additional Charges for work performed outside the agreed scope in the absence of a signed change order.</w:t>
      </w:r>
    </w:p>
    <w:p>
      <w:pPr>
        <w:keepNext/>
        <w:spacing w:after="120" w:before="280"/>
        <w:outlineLvl w:val="0"/>
      </w:pPr>
      <w:r>
        <w:rPr>
          <w:rFonts w:ascii="Calibri" w:cs="Calibri" w:eastAsia="Calibri" w:hAnsi="Calibri"/>
          <w:b/>
          <w:bCs/>
          <w:color w:val="14161B"/>
          <w:sz w:val="22"/>
          <w:szCs w:val="22"/>
        </w:rPr>
        <w:t xml:space="preserve">6. ACCEPTANCE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Service Provider shall notify the Client when a Deliverable is ready for Acceptance. The Client shall,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of such notice (the "</w:t>
      </w:r>
      <w:r>
        <w:rPr>
          <w:rFonts w:ascii="Calibri" w:cs="Calibri" w:eastAsia="Calibri" w:hAnsi="Calibri"/>
          <w:b/>
          <w:bCs/>
          <w:sz w:val="21"/>
          <w:szCs w:val="21"/>
        </w:rPr>
        <w:t xml:space="preserve">Acceptance Period</w:t>
      </w:r>
      <w:r>
        <w:rPr>
          <w:rFonts w:ascii="Calibri" w:cs="Calibri" w:eastAsia="Calibri" w:hAnsi="Calibri"/>
          <w:sz w:val="21"/>
          <w:szCs w:val="21"/>
        </w:rPr>
        <w:t xml:space="preserve">"), test the Deliverable against the acceptance criteria set out in the SOW and either Accept it or notify the Service Provider in writing of the respects in which it fails to meet those criteria.</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If the Client rejects a Deliverable, the Service Provider shall at its own cost remedy the defects and resubmit it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whereupon a further Acceptance Period shall apply.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If a Deliverable is rejected on </w:t>
      </w:r>
      <w:r>
        <w:rPr>
          <w:rFonts w:ascii="Calibri" w:cs="Calibri" w:eastAsia="Calibri" w:hAnsi="Calibri"/>
          <w:b/>
          <w:bCs/>
          <w:sz w:val="21"/>
          <w:szCs w:val="21"/>
        </w:rPr>
        <w:t xml:space="preserve">[NUMBER]</w:t>
      </w:r>
      <w:r>
        <w:rPr>
          <w:rFonts w:ascii="Calibri" w:cs="Calibri" w:eastAsia="Calibri" w:hAnsi="Calibri"/>
          <w:sz w:val="21"/>
          <w:szCs w:val="21"/>
        </w:rPr>
        <w:t xml:space="preserve"> occasions, the Client may, at its option: (a) accept the Deliverable subject to an equitable reduction in the Charges; (b) require the Service Provider to remedy the defect within a final period; or (c) terminate the affected SOW and recover the Charges paid in respect of the rejected Deliverable.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 Deliverable is deemed Accepted if the Client uses it in live production for a purpose other than testing, or if the Client fails to Accept or reject it within the Acceptance Period and does not do so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of a written reminder.</w:t>
      </w:r>
    </w:p>
    <w:p>
      <w:pPr>
        <w:keepNext/>
        <w:spacing w:after="120" w:before="280"/>
        <w:outlineLvl w:val="0"/>
      </w:pPr>
      <w:r>
        <w:rPr>
          <w:rFonts w:ascii="Calibri" w:cs="Calibri" w:eastAsia="Calibri" w:hAnsi="Calibri"/>
          <w:b/>
          <w:bCs/>
          <w:color w:val="14161B"/>
          <w:sz w:val="22"/>
          <w:szCs w:val="22"/>
        </w:rPr>
        <w:t xml:space="preserve">7. CHARGES, INVOICING AND TAXES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Client shall pay the Charges set out in the applicable SOW. Unless the SOW states otherwise, the Charges are exclusive of goods and services tax and inclusive of all other costs of performance.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Service Provider shall raise a tax invoice in accordance with the Central Goods and Services Tax Act, 2017 and the rules made under it, containing all particulars required by Rule 46 of the Central Goods and Services Tax Rules, 2017 and, where applicable, an Invoice Reference Number generated under the e-invoicing provisions.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Client shall pay each correctly rendered and undisputed invoice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receipt.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Client shall be entitled to deduct tax at source at the rate in force under Section 393 of the Income-tax Act, 2025 (which, with effect from 1 April 2026, consolidates the deduction provisions formerly contained in the 194-series of the Income-tax Act, 1961), and shall furnish the corresponding certificate of deduction within the prescribed time. Amounts so deducted shall be treated as paid to the Service Provider.</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The Service Provider shall ensure that it: (a) is and remains registered under the goods and services tax legislation where required; (b) accurately reports each invoice in its outward supply returns; and (c) discharges the corresponding output tax. If the Client is denied input tax credit by reason of the Service Provider’s failure to comply, the Service Provider shall reimburse the Client the amount of the credit denied together with any interest and penalty levied on the Client, and the Client may set off that amount against sums payable to the Service Provider.</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sz w:val="21"/>
          <w:szCs w:val="21"/>
        </w:rPr>
        <w:t xml:space="preserve">The Client may withhold payment of any amount that is the subject of a bona fide dispute notified in writing before the due date, provided that it pays the undisputed balance and the Parties escalate the dispute under Clause 22.</w:t>
      </w:r>
    </w:p>
    <w:p>
      <w:pPr>
        <w:spacing w:after="120" w:before="60" w:line="276"/>
        <w:ind w:left="720" w:hanging="720"/>
        <w:jc w:val="both"/>
      </w:pPr>
      <w:r>
        <w:rPr>
          <w:rFonts w:ascii="Calibri" w:cs="Calibri" w:eastAsia="Calibri" w:hAnsi="Calibri"/>
          <w:sz w:val="21"/>
          <w:szCs w:val="21"/>
        </w:rPr>
        <w:t xml:space="preserve">7.7	</w:t>
      </w:r>
      <w:r>
        <w:rPr>
          <w:rFonts w:ascii="Calibri" w:cs="Calibri" w:eastAsia="Calibri" w:hAnsi="Calibri"/>
          <w:sz w:val="21"/>
          <w:szCs w:val="21"/>
        </w:rPr>
        <w:t xml:space="preserve">If the Service Provider is a micro or small enterprise registered under the Micro, Small and Medium Enterprises Development Act, 2006, it shall state that fact and its Udyam registration number on each invoice, and payment shall be made within the period prescribed by Section 15 of that Act. Interest on delayed payment shall be payable in accordance with Section 16 of that Act.</w:t>
      </w:r>
    </w:p>
    <w:p>
      <w:pPr>
        <w:spacing w:after="120" w:before="60" w:line="276"/>
        <w:ind w:left="720" w:hanging="720"/>
        <w:jc w:val="both"/>
      </w:pPr>
      <w:r>
        <w:rPr>
          <w:rFonts w:ascii="Calibri" w:cs="Calibri" w:eastAsia="Calibri" w:hAnsi="Calibri"/>
          <w:sz w:val="21"/>
          <w:szCs w:val="21"/>
        </w:rPr>
        <w:t xml:space="preserve">7.8	</w:t>
      </w:r>
      <w:r>
        <w:rPr>
          <w:rFonts w:ascii="Calibri" w:cs="Calibri" w:eastAsia="Calibri" w:hAnsi="Calibri"/>
          <w:sz w:val="21"/>
          <w:szCs w:val="21"/>
        </w:rPr>
        <w:t xml:space="preserve">Except as provided in Clause 7.7, overdue amounts carry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month from the due date until payment. </w:t>
      </w:r>
      <w:r>
        <w:rPr>
          <w:rFonts w:ascii="Calibri" w:cs="Calibri" w:eastAsia="Calibri" w:hAnsi="Calibri"/>
          <w:i/>
          <w:iCs/>
          <w:color w:val="6E7480"/>
          <w:sz w:val="21"/>
          <w:szCs w:val="21"/>
        </w:rPr>
        <w:t xml:space="preserve">The rate is a commercial decision — specify.</w:t>
      </w:r>
    </w:p>
    <w:p>
      <w:pPr>
        <w:spacing w:after="120" w:before="60" w:line="276"/>
        <w:ind w:left="720" w:hanging="720"/>
        <w:jc w:val="both"/>
      </w:pPr>
      <w:r>
        <w:rPr>
          <w:rFonts w:ascii="Calibri" w:cs="Calibri" w:eastAsia="Calibri" w:hAnsi="Calibri"/>
          <w:sz w:val="21"/>
          <w:szCs w:val="21"/>
        </w:rPr>
        <w:t xml:space="preserve">7.9	</w:t>
      </w:r>
      <w:r>
        <w:rPr>
          <w:rFonts w:ascii="Calibri" w:cs="Calibri" w:eastAsia="Calibri" w:hAnsi="Calibri"/>
          <w:sz w:val="21"/>
          <w:szCs w:val="21"/>
        </w:rPr>
        <w:t xml:space="preserve">Reimbursable expenses shall be pre-approved in writing, charged at cost without mark-up, and supported by receipts.</w:t>
      </w:r>
    </w:p>
    <w:p>
      <w:pPr>
        <w:keepNext/>
        <w:spacing w:after="120" w:before="280"/>
        <w:outlineLvl w:val="0"/>
      </w:pPr>
      <w:r>
        <w:rPr>
          <w:rFonts w:ascii="Calibri" w:cs="Calibri" w:eastAsia="Calibri" w:hAnsi="Calibri"/>
          <w:b/>
          <w:bCs/>
          <w:color w:val="14161B"/>
          <w:sz w:val="22"/>
          <w:szCs w:val="22"/>
        </w:rPr>
        <w:t xml:space="preserve">8. INTELLECTUAL PROPERTY</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Each Party retains ownership of its Background IP. Nothing in this Agreement transfers Background IP.</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Service Provider grants the Client a non-exclusive, royalty-free, perpetual, irrevocable, worldwide licence to use the Service Provider’s Background IP to the extent incorporated in a Deliverable and necessary for the Client to use and exploit that Deliverable for its intended purpose, together with the right to sublicense to the Client’s Affiliates and to a purchaser of the relevant business.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Subject to Clause 8.4, all Foreground IP vests in the Client on creation. The Service Provider assigns to the Client, with effect from creation, all right, title and interest in the Foreground IP throughout the world for the full term of such rights including all renewals, revivals and extensions. This assignment is made in writing and signed for the purposes of Section 19 of the Copyright Act, 1957.</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assignment in Clause 8.3 takes effect only on payment in full of the Charges relating to the Deliverable concerned. Until payment, the Service Provider grants the Client a licence to use the Deliverable for evaluation and acceptance only.</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Service Provider shall procure from each of its Personnel a valid written assignment of all rights in the Foreground IP and, to the extent permitted by law, a waiver of moral rights under Section 57 of the Copyright Act, 1957, sufficient to give effect to Clause 8.3.</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The Service Provider shall not incorporate into any Deliverable any open-source software or third-party material without the Client’s prior written consent. Where consent is given, the Service Provider shall provide a bill of materials identifying each component, its version, its licence and its licence obligations, and shall not use any component licensed on terms that would require the Client to disclose, license or make available its own source code.</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sz w:val="21"/>
          <w:szCs w:val="21"/>
        </w:rPr>
        <w:t xml:space="preserve">The Service Provider shall execute all further documents and do all further acts reasonably required to perfect the Client’s title to the Foreground IP, including applications for registration.</w:t>
      </w:r>
    </w:p>
    <w:p>
      <w:pPr>
        <w:keepNext/>
        <w:spacing w:after="120" w:before="280"/>
        <w:outlineLvl w:val="0"/>
      </w:pPr>
      <w:r>
        <w:rPr>
          <w:rFonts w:ascii="Calibri" w:cs="Calibri" w:eastAsia="Calibri" w:hAnsi="Calibri"/>
          <w:b/>
          <w:bCs/>
          <w:color w:val="14161B"/>
          <w:sz w:val="22"/>
          <w:szCs w:val="22"/>
        </w:rPr>
        <w:t xml:space="preserve">9. CONFIDENTIALITY</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Each Party shall keep confidential all information of the other that is disclosed in connection with this Agreement and is either marked confidential or ought reasonably to be regarded as confidential, shall use it only for the purposes of this Agreement, and shall disclose it only to Personnel who need to know it and who are bound by equivalent obligations.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Clause 9.1 does not apply to information that is or becomes public other than by breach, was lawfully known to the recipient free of restriction, is lawfully received from a third party, or is independently developed. Disclosure required by law or by a regulator is permitted, with prior notice to the other Party where lawful and practicable.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These obligations continue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termination, and indefinitely in respect of trade secrets and source code.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The Service Provider shall not name the Client, use the Client’s marks, or refer to the engagement in any publicity, case study, credentials document or client list without the Client’s prior written consent.</w:t>
      </w:r>
    </w:p>
    <w:p>
      <w:pPr>
        <w:keepNext/>
        <w:spacing w:after="120" w:before="280"/>
        <w:outlineLvl w:val="0"/>
      </w:pPr>
      <w:r>
        <w:rPr>
          <w:rFonts w:ascii="Calibri" w:cs="Calibri" w:eastAsia="Calibri" w:hAnsi="Calibri"/>
          <w:b/>
          <w:bCs/>
          <w:color w:val="14161B"/>
          <w:sz w:val="22"/>
          <w:szCs w:val="22"/>
        </w:rPr>
        <w:t xml:space="preserve">10. DATA PROTECTION</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Where the Service Provider processes personal data on behalf of the Client in the course of providing the Services, the Client is the Data Fiduciary and the Service Provider is the Data Processor within the meaning of the Digital Personal Data Protection Act, 2023.</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Service Provider shall process such personal data only on the Client’s documented instructions and only for the purposes of the Services, shall implement reasonable security safeguards, shall not engage a sub-processor without the Client’s prior written authorisation, and shall assist the Client in responding to requests from Data Principals and to the Data Protection Board of India.</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Service Provider shall intimate the Client of any personal data breach without undue delay and in any event within twenty-four (24) hours of becoming aware of it, with sufficient particulars to enable the Client to discharge its own intimation obligations within the prescribed period.</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The Parties shall execute a data processing agreement in the form required by Section 8(2) of the Digital Personal Data Protection Act, 2023, which shall form part of this Agreement. In the event of conflict, the data processing agreement prevails in relation to personal data.</w:t>
      </w:r>
    </w:p>
    <w:p>
      <w:pPr>
        <w:keepNext/>
        <w:spacing w:after="120" w:before="280"/>
        <w:outlineLvl w:val="0"/>
      </w:pPr>
      <w:r>
        <w:rPr>
          <w:rFonts w:ascii="Calibri" w:cs="Calibri" w:eastAsia="Calibri" w:hAnsi="Calibri"/>
          <w:b/>
          <w:bCs/>
          <w:color w:val="14161B"/>
          <w:sz w:val="22"/>
          <w:szCs w:val="22"/>
        </w:rPr>
        <w:t xml:space="preserve">11. WARRANTIES</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Service Provider warrants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it has full power and authority to enter into and perform this Agreement, and its execution has been duly authorised;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Services will be performed with reasonable skill and care by suitably qualified Personnel and in accordance with good industry practice;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each Deliverable will conform in all material respects to the specification and acceptance criteria in the SOW for </w:t>
      </w:r>
      <w:r>
        <w:rPr>
          <w:rFonts w:ascii="Calibri" w:cs="Calibri" w:eastAsia="Calibri" w:hAnsi="Calibri"/>
          <w:b/>
          <w:bCs/>
          <w:sz w:val="21"/>
          <w:szCs w:val="21"/>
        </w:rPr>
        <w:t xml:space="preserve">[WARRANTY PERIOD — e.g. ninety (90) days]</w:t>
      </w:r>
      <w:r>
        <w:rPr>
          <w:rFonts w:ascii="Calibri" w:cs="Calibri" w:eastAsia="Calibri" w:hAnsi="Calibri"/>
          <w:sz w:val="21"/>
          <w:szCs w:val="21"/>
        </w:rPr>
        <w:t xml:space="preserve"> after Acceptance, and the Service Provider shall remedy any non-conformity notified within that period at no charge;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Deliverables and the Client’s use of them in accordance with this Agreement will not infringe the intellectual property rights of any third party;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 Deliverable will contain any virus, malicious code, disabling device, back door or time-lock;</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it holds all licences, registrations and consents required to perform the Services;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it is not subject to any obligation that conflicts with, or would restrict its performance of, this Agreement.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Client warrants that it has full power and authority to enter into and perform this Agreement, and that materials it supplies to the Service Provider for use in the Services do not infringe third-party rights.</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Save as expressly set out in this Agreement, all warranties, conditions and terms implied by statute or common law are excluded to the fullest extent permitted by law.</w:t>
      </w:r>
    </w:p>
    <w:p>
      <w:pPr>
        <w:keepNext/>
        <w:spacing w:after="120" w:before="280"/>
        <w:outlineLvl w:val="0"/>
      </w:pPr>
      <w:r>
        <w:rPr>
          <w:rFonts w:ascii="Calibri" w:cs="Calibri" w:eastAsia="Calibri" w:hAnsi="Calibri"/>
          <w:b/>
          <w:bCs/>
          <w:color w:val="14161B"/>
          <w:sz w:val="22"/>
          <w:szCs w:val="22"/>
        </w:rPr>
        <w:t xml:space="preserve">12. INDEMNITIES</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The Service Provider shall indemnify, defend and hold harmless the Client, its Affiliates and their respective officers, directors and employees against all losses, damages, liabilities, costs and expenses (including reasonable legal fees) arising out of or in connection with:</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claim that a Deliverable, or the Client’s use of it in accordance with this Agreement, infringes the intellectual property rights of a third party;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any claim by or in relation to the Service Provider’s Personnel, including claims relating to employment, wages, statutory dues or workplace injury;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breach by the Service Provider of Clause 9 (Confidentiality) or Clause 10 (Data protection);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fraud, wilful misconduct or gross negligence of the Service Provider or its Personnel;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breach by the Service Provider of applicable law, including tax, labour and anti-bribery law.</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If a Deliverable becomes, or in the Service Provider’s reasonable opinion is likely to become, the subject of an infringement claim, the Service Provider shall at its own cost and at the Client’s option: (a) procure for the Client the right to continue using it; (b) modify or replace it so that it becomes non-infringing while remaining materially equivalent in function; or, only if neither is achievable on reasonable commercial terms, (c) refund the Charges paid in respect of it.</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The indemnified Party shall notify the indemnifying Party promptly of any claim, shall not admit liability or settle without consent (not to be unreasonably withheld), and shall permit the indemnifying Party to conduct the defence, subject to the indemnified Party’s right to participate at its own cost.</w:t>
      </w:r>
    </w:p>
    <w:p>
      <w:pPr>
        <w:keepNext/>
        <w:spacing w:after="120" w:before="280"/>
        <w:outlineLvl w:val="0"/>
      </w:pPr>
      <w:r>
        <w:rPr>
          <w:rFonts w:ascii="Calibri" w:cs="Calibri" w:eastAsia="Calibri" w:hAnsi="Calibri"/>
          <w:b/>
          <w:bCs/>
          <w:color w:val="14161B"/>
          <w:sz w:val="22"/>
          <w:szCs w:val="22"/>
        </w:rPr>
        <w:t xml:space="preserve">13. LIMITATION OF LIABILITY</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Neither Party excludes or limits liability for death or personal injury caused by its negligence, for fraud or fraudulent misrepresentation, or for any liability that cannot be excluded or limited by law.</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Subject to Clauses 13.1 and 13.4, neither Party shall be liable for any indirect or consequential loss, or for loss of profit, revenue, anticipated savings, goodwill or business opportunity, however arising.</w:t>
      </w:r>
    </w:p>
    <w:p>
      <w:pPr>
        <w:spacing w:after="120" w:before="60" w:line="276"/>
        <w:ind w:left="720" w:hanging="720"/>
        <w:jc w:val="both"/>
      </w:pPr>
      <w:r>
        <w:rPr>
          <w:rFonts w:ascii="Calibri" w:cs="Calibri" w:eastAsia="Calibri" w:hAnsi="Calibri"/>
          <w:sz w:val="21"/>
          <w:szCs w:val="21"/>
        </w:rPr>
        <w:t xml:space="preserve">13.3	</w:t>
      </w:r>
      <w:r>
        <w:rPr>
          <w:rFonts w:ascii="Calibri" w:cs="Calibri" w:eastAsia="Calibri" w:hAnsi="Calibri"/>
          <w:sz w:val="21"/>
          <w:szCs w:val="21"/>
        </w:rPr>
        <w:t xml:space="preserve">Subject to Clauses 13.1 and 13.4, the aggregate liability of each Party under or in connection with each SOW, whether in contract, tort (including negligence), breach of statutory duty or otherwise, shall not exceed </w:t>
      </w:r>
      <w:r>
        <w:rPr>
          <w:rFonts w:ascii="Calibri" w:cs="Calibri" w:eastAsia="Calibri" w:hAnsi="Calibri"/>
          <w:b/>
          <w:bCs/>
          <w:sz w:val="21"/>
          <w:szCs w:val="21"/>
        </w:rPr>
        <w:t xml:space="preserve">[CAP — e.g. the total Charges paid and payable under that SOW in the twelve (12) months preceding the event giving rise to the claim]</w:t>
      </w:r>
      <w:r>
        <w:rPr>
          <w:rFonts w:ascii="Calibri" w:cs="Calibri" w:eastAsia="Calibri" w:hAnsi="Calibri"/>
          <w:sz w:val="21"/>
          <w:szCs w:val="21"/>
        </w:rPr>
        <w:t xml:space="preserve">. </w:t>
      </w:r>
      <w:r>
        <w:rPr>
          <w:rFonts w:ascii="Calibri" w:cs="Calibri" w:eastAsia="Calibri" w:hAnsi="Calibri"/>
          <w:i/>
          <w:iCs/>
          <w:color w:val="6E7480"/>
          <w:sz w:val="21"/>
          <w:szCs w:val="21"/>
        </w:rPr>
        <w:t xml:space="preserve">The cap and its multiple are commercial decisions — specify.</w:t>
      </w:r>
    </w:p>
    <w:p>
      <w:pPr>
        <w:spacing w:after="120" w:before="60" w:line="276"/>
        <w:ind w:left="720" w:hanging="720"/>
        <w:jc w:val="both"/>
      </w:pPr>
      <w:r>
        <w:rPr>
          <w:rFonts w:ascii="Calibri" w:cs="Calibri" w:eastAsia="Calibri" w:hAnsi="Calibri"/>
          <w:sz w:val="21"/>
          <w:szCs w:val="21"/>
        </w:rPr>
        <w:t xml:space="preserve">13.4	</w:t>
      </w:r>
      <w:r>
        <w:rPr>
          <w:rFonts w:ascii="Calibri" w:cs="Calibri" w:eastAsia="Calibri" w:hAnsi="Calibri"/>
          <w:sz w:val="21"/>
          <w:szCs w:val="21"/>
        </w:rPr>
        <w:t xml:space="preserve">The limitations in Clauses 13.2 and 13.3 do not apply to: (a) the Client’s obligation to pay the Charges; (b) the Service Provider’s indemnities under Clauses 12.1(a), 12.1(b), 12.1(d) and 12.1(e); (c) breach of Clause 9 or Clause 10; or (d) any regulatory fine or penalty imposed on a Party as a result of the other Party’s breach.</w:t>
      </w:r>
    </w:p>
    <w:p>
      <w:pPr>
        <w:keepNext/>
        <w:spacing w:after="120" w:before="280"/>
        <w:outlineLvl w:val="0"/>
      </w:pPr>
      <w:r>
        <w:rPr>
          <w:rFonts w:ascii="Calibri" w:cs="Calibri" w:eastAsia="Calibri" w:hAnsi="Calibri"/>
          <w:b/>
          <w:bCs/>
          <w:color w:val="14161B"/>
          <w:sz w:val="22"/>
          <w:szCs w:val="22"/>
        </w:rPr>
        <w:t xml:space="preserve">14. INSURANCE</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The Service Provider shall maintain, with a reputable insurer, for the term of this Agreement and for </w:t>
      </w:r>
      <w:r>
        <w:rPr>
          <w:rFonts w:ascii="Calibri" w:cs="Calibri" w:eastAsia="Calibri" w:hAnsi="Calibri"/>
          <w:b/>
          <w:bCs/>
          <w:sz w:val="21"/>
          <w:szCs w:val="21"/>
        </w:rPr>
        <w:t xml:space="preserve">[NUMBER]</w:t>
      </w:r>
      <w:r>
        <w:rPr>
          <w:rFonts w:ascii="Calibri" w:cs="Calibri" w:eastAsia="Calibri" w:hAnsi="Calibri"/>
          <w:sz w:val="21"/>
          <w:szCs w:val="21"/>
        </w:rPr>
        <w:t xml:space="preserve"> years thereafter: (a) professional indemnity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 (b) commercial general liability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 (c) cyber liability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 where the Services involve processing of Client data; and (d) all insurance required by law, including employees’ compensation cover.</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The Service Provider shall provide certificates of insurance on request and shall notify the Client of any cancellation, non-renewal or material adverse change in cover.</w:t>
      </w:r>
    </w:p>
    <w:p>
      <w:pPr>
        <w:keepNext/>
        <w:spacing w:after="120" w:before="280"/>
        <w:outlineLvl w:val="0"/>
      </w:pPr>
      <w:r>
        <w:rPr>
          <w:rFonts w:ascii="Calibri" w:cs="Calibri" w:eastAsia="Calibri" w:hAnsi="Calibri"/>
          <w:b/>
          <w:bCs/>
          <w:color w:val="14161B"/>
          <w:sz w:val="22"/>
          <w:szCs w:val="22"/>
        </w:rPr>
        <w:t xml:space="preserve">15. TERM AND TERMINATION</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sz w:val="21"/>
          <w:szCs w:val="21"/>
        </w:rPr>
        <w:t xml:space="preserve">This Agreement commences on the Effective Date and continues for </w:t>
      </w:r>
      <w:r>
        <w:rPr>
          <w:rFonts w:ascii="Calibri" w:cs="Calibri" w:eastAsia="Calibri" w:hAnsi="Calibri"/>
          <w:b/>
          <w:bCs/>
          <w:sz w:val="21"/>
          <w:szCs w:val="21"/>
        </w:rPr>
        <w:t xml:space="preserve">[TERM]</w:t>
      </w:r>
      <w:r>
        <w:rPr>
          <w:rFonts w:ascii="Calibri" w:cs="Calibri" w:eastAsia="Calibri" w:hAnsi="Calibri"/>
          <w:sz w:val="21"/>
          <w:szCs w:val="21"/>
        </w:rPr>
        <w:t xml:space="preserve">, and thereafter until terminated in accordance with this Clause. Termination of this Agreement terminates all SOWs then in force unless the Parties agree otherwise in writing.</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sz w:val="21"/>
          <w:szCs w:val="21"/>
        </w:rPr>
        <w:t xml:space="preserve">Either Party may terminate this Agreement or any SOW for convenience on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On termination for convenience by the Client, the Client shall pay for Services properly performed and Deliverables Accepted up to the effective date of termination, together with non-cancellable committed costs reasonably incurred and evidenced.</w:t>
      </w:r>
    </w:p>
    <w:p>
      <w:pPr>
        <w:spacing w:after="120" w:before="60" w:line="276"/>
        <w:ind w:left="720" w:hanging="720"/>
        <w:jc w:val="both"/>
      </w:pPr>
      <w:r>
        <w:rPr>
          <w:rFonts w:ascii="Calibri" w:cs="Calibri" w:eastAsia="Calibri" w:hAnsi="Calibri"/>
          <w:sz w:val="21"/>
          <w:szCs w:val="21"/>
        </w:rPr>
        <w:t xml:space="preserve">15.3	</w:t>
      </w:r>
      <w:r>
        <w:rPr>
          <w:rFonts w:ascii="Calibri" w:cs="Calibri" w:eastAsia="Calibri" w:hAnsi="Calibri"/>
          <w:sz w:val="21"/>
          <w:szCs w:val="21"/>
        </w:rPr>
        <w:t xml:space="preserve">Either Party may terminate this Agreement or any SOW with immediate effect by written notice if the other Party: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commits a material breach that is not capable of remedy, or that is capable of remedy and is not remedied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written notice requiring it to be remedied;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suffers the admission of an application for initiation of corporate insolvency resolution process under the Insolvency and Bankruptcy Code, 2016, passes a resolution for winding up, or has a receiver, liquidator or administrator appointed over its assets or any material part of them;</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ceases or threatens to cease to carry on business;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breaches Clause 17 (Anti-bribery and compliance).</w:t>
      </w:r>
    </w:p>
    <w:p>
      <w:pPr>
        <w:spacing w:after="120" w:before="60" w:line="276"/>
        <w:ind w:left="720" w:hanging="720"/>
        <w:jc w:val="both"/>
      </w:pPr>
      <w:r>
        <w:rPr>
          <w:rFonts w:ascii="Calibri" w:cs="Calibri" w:eastAsia="Calibri" w:hAnsi="Calibri"/>
          <w:sz w:val="21"/>
          <w:szCs w:val="21"/>
        </w:rPr>
        <w:t xml:space="preserve">15.4	</w:t>
      </w:r>
      <w:r>
        <w:rPr>
          <w:rFonts w:ascii="Calibri" w:cs="Calibri" w:eastAsia="Calibri" w:hAnsi="Calibri"/>
          <w:sz w:val="21"/>
          <w:szCs w:val="21"/>
        </w:rPr>
        <w:t xml:space="preserve">The Client may terminate a SOW with immediate effect if the Service Provider fails to meet a Service Level at the level defined in Schedule 2 as a termination trigger.</w:t>
      </w:r>
    </w:p>
    <w:p>
      <w:pPr>
        <w:spacing w:after="120" w:before="60" w:line="276"/>
        <w:ind w:left="720" w:hanging="720"/>
        <w:jc w:val="both"/>
      </w:pPr>
      <w:r>
        <w:rPr>
          <w:rFonts w:ascii="Calibri" w:cs="Calibri" w:eastAsia="Calibri" w:hAnsi="Calibri"/>
          <w:sz w:val="21"/>
          <w:szCs w:val="21"/>
        </w:rPr>
        <w:t xml:space="preserve">15.5	</w:t>
      </w:r>
      <w:r>
        <w:rPr>
          <w:rFonts w:ascii="Calibri" w:cs="Calibri" w:eastAsia="Calibri" w:hAnsi="Calibri"/>
          <w:sz w:val="21"/>
          <w:szCs w:val="21"/>
        </w:rPr>
        <w:t xml:space="preserve">Termination does not affect accrued rights or the provisions intended to survive, including Clauses 7, 8, 9, 10, 12, 13, 16, 22 and 23.</w:t>
      </w:r>
    </w:p>
    <w:p>
      <w:pPr>
        <w:keepNext/>
        <w:spacing w:after="120" w:before="280"/>
        <w:outlineLvl w:val="0"/>
      </w:pPr>
      <w:r>
        <w:rPr>
          <w:rFonts w:ascii="Calibri" w:cs="Calibri" w:eastAsia="Calibri" w:hAnsi="Calibri"/>
          <w:b/>
          <w:bCs/>
          <w:color w:val="14161B"/>
          <w:sz w:val="22"/>
          <w:szCs w:val="22"/>
        </w:rPr>
        <w:t xml:space="preserve">16. CONSEQUENCES OF TERMINATION AND TRANSITION</w:t>
      </w:r>
    </w:p>
    <w:p>
      <w:pPr>
        <w:spacing w:after="120" w:before="60" w:line="276"/>
        <w:ind w:left="720" w:hanging="720"/>
        <w:jc w:val="both"/>
      </w:pPr>
      <w:r>
        <w:rPr>
          <w:rFonts w:ascii="Calibri" w:cs="Calibri" w:eastAsia="Calibri" w:hAnsi="Calibri"/>
          <w:sz w:val="21"/>
          <w:szCs w:val="21"/>
        </w:rPr>
        <w:t xml:space="preserve">16.1	</w:t>
      </w:r>
      <w:r>
        <w:rPr>
          <w:rFonts w:ascii="Calibri" w:cs="Calibri" w:eastAsia="Calibri" w:hAnsi="Calibri"/>
          <w:sz w:val="21"/>
          <w:szCs w:val="21"/>
        </w:rPr>
        <w:t xml:space="preserve">On expiry or termination of a SOW the Service Provider shall: (a) immediately cease the affected Services except as directed; (b) deliver to the Client all Deliverables, work in progress, Client data and Client materials in its possession, in the formats reasonably specified by the Client; (c) provide a complete and current copy of documentation, configurations and credentials necessary for the Client or its nominee to continue the Services; and (d) return or destroy the Client’s Confidential Information in accordance with Clause 9.</w:t>
      </w:r>
    </w:p>
    <w:p>
      <w:pPr>
        <w:spacing w:after="120" w:before="60" w:line="276"/>
        <w:ind w:left="720" w:hanging="720"/>
        <w:jc w:val="both"/>
      </w:pPr>
      <w:r>
        <w:rPr>
          <w:rFonts w:ascii="Calibri" w:cs="Calibri" w:eastAsia="Calibri" w:hAnsi="Calibri"/>
          <w:sz w:val="21"/>
          <w:szCs w:val="21"/>
        </w:rPr>
        <w:t xml:space="preserve">16.2	</w:t>
      </w:r>
      <w:r>
        <w:rPr>
          <w:rFonts w:ascii="Calibri" w:cs="Calibri" w:eastAsia="Calibri" w:hAnsi="Calibri"/>
          <w:sz w:val="21"/>
          <w:szCs w:val="21"/>
        </w:rPr>
        <w:t xml:space="preserve">The Service Provider shall, if requested, provide transition assistance for up to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termination on the rates set out in Schedule 3 or, if none, on its then-current standard rates, and shall cooperate in good faith with any successor supplier. This obligation applies notwithstanding any dispute between the Parties, provided the Client pays for such assistance.</w:t>
      </w:r>
    </w:p>
    <w:p>
      <w:pPr>
        <w:spacing w:after="120" w:before="60" w:line="276"/>
        <w:ind w:left="720" w:hanging="720"/>
        <w:jc w:val="both"/>
      </w:pPr>
      <w:r>
        <w:rPr>
          <w:rFonts w:ascii="Calibri" w:cs="Calibri" w:eastAsia="Calibri" w:hAnsi="Calibri"/>
          <w:sz w:val="21"/>
          <w:szCs w:val="21"/>
        </w:rPr>
        <w:t xml:space="preserve">16.3	</w:t>
      </w:r>
      <w:r>
        <w:rPr>
          <w:rFonts w:ascii="Calibri" w:cs="Calibri" w:eastAsia="Calibri" w:hAnsi="Calibri"/>
          <w:sz w:val="21"/>
          <w:szCs w:val="21"/>
        </w:rPr>
        <w:t xml:space="preserve">The Client shall pay for all Services properly performed up to the effective date of termination.</w:t>
      </w:r>
    </w:p>
    <w:p>
      <w:pPr>
        <w:keepNext/>
        <w:spacing w:after="120" w:before="280"/>
        <w:outlineLvl w:val="0"/>
      </w:pPr>
      <w:r>
        <w:rPr>
          <w:rFonts w:ascii="Calibri" w:cs="Calibri" w:eastAsia="Calibri" w:hAnsi="Calibri"/>
          <w:b/>
          <w:bCs/>
          <w:color w:val="14161B"/>
          <w:sz w:val="22"/>
          <w:szCs w:val="22"/>
        </w:rPr>
        <w:t xml:space="preserve">17. ANTI-BRIBERY AND COMPLIANCE</w:t>
      </w:r>
    </w:p>
    <w:p>
      <w:pPr>
        <w:spacing w:after="120" w:before="60" w:line="276"/>
        <w:ind w:left="720" w:hanging="720"/>
        <w:jc w:val="both"/>
      </w:pPr>
      <w:r>
        <w:rPr>
          <w:rFonts w:ascii="Calibri" w:cs="Calibri" w:eastAsia="Calibri" w:hAnsi="Calibri"/>
          <w:sz w:val="21"/>
          <w:szCs w:val="21"/>
        </w:rPr>
        <w:t xml:space="preserve">17.1	</w:t>
      </w:r>
      <w:r>
        <w:rPr>
          <w:rFonts w:ascii="Calibri" w:cs="Calibri" w:eastAsia="Calibri" w:hAnsi="Calibri"/>
          <w:sz w:val="21"/>
          <w:szCs w:val="21"/>
        </w:rPr>
        <w:t xml:space="preserve">Each Party shall comply with all applicable anti-bribery and anti-corruption laws, including the Prevention of Corruption Act, 1988 and, where applicable to it, the Foreign Corrupt Practices Act 1977 and the Bribery Act 2010, and shall not offer, give, request or accept any undue advantage in connection with this Agreement.</w:t>
      </w:r>
    </w:p>
    <w:p>
      <w:pPr>
        <w:spacing w:after="120" w:before="60" w:line="276"/>
        <w:ind w:left="720" w:hanging="720"/>
        <w:jc w:val="both"/>
      </w:pPr>
      <w:r>
        <w:rPr>
          <w:rFonts w:ascii="Calibri" w:cs="Calibri" w:eastAsia="Calibri" w:hAnsi="Calibri"/>
          <w:sz w:val="21"/>
          <w:szCs w:val="21"/>
        </w:rPr>
        <w:t xml:space="preserve">17.2	</w:t>
      </w:r>
      <w:r>
        <w:rPr>
          <w:rFonts w:ascii="Calibri" w:cs="Calibri" w:eastAsia="Calibri" w:hAnsi="Calibri"/>
          <w:sz w:val="21"/>
          <w:szCs w:val="21"/>
        </w:rPr>
        <w:t xml:space="preserve">The Service Provider shall maintain adequate procedures to prevent bribery by its Personnel and shall promptly report to the Client any breach or suspected breach of this Clause.</w:t>
      </w:r>
    </w:p>
    <w:p>
      <w:pPr>
        <w:spacing w:after="120" w:before="60" w:line="276"/>
        <w:ind w:left="720" w:hanging="720"/>
        <w:jc w:val="both"/>
      </w:pPr>
      <w:r>
        <w:rPr>
          <w:rFonts w:ascii="Calibri" w:cs="Calibri" w:eastAsia="Calibri" w:hAnsi="Calibri"/>
          <w:sz w:val="21"/>
          <w:szCs w:val="21"/>
        </w:rPr>
        <w:t xml:space="preserve">17.3	</w:t>
      </w:r>
      <w:r>
        <w:rPr>
          <w:rFonts w:ascii="Calibri" w:cs="Calibri" w:eastAsia="Calibri" w:hAnsi="Calibri"/>
          <w:sz w:val="21"/>
          <w:szCs w:val="21"/>
        </w:rPr>
        <w:t xml:space="preserve">Each Party shall comply with applicable sanctions, export control, anti-money laundering and modern slavery legislation.</w:t>
      </w:r>
    </w:p>
    <w:p>
      <w:pPr>
        <w:keepNext/>
        <w:spacing w:after="120" w:before="280"/>
        <w:outlineLvl w:val="0"/>
      </w:pPr>
      <w:r>
        <w:rPr>
          <w:rFonts w:ascii="Calibri" w:cs="Calibri" w:eastAsia="Calibri" w:hAnsi="Calibri"/>
          <w:b/>
          <w:bCs/>
          <w:color w:val="14161B"/>
          <w:sz w:val="22"/>
          <w:szCs w:val="22"/>
        </w:rPr>
        <w:t xml:space="preserve">18. AUDIT AND RECORDS</w:t>
      </w:r>
    </w:p>
    <w:p>
      <w:pPr>
        <w:spacing w:after="120" w:before="60" w:line="276"/>
        <w:ind w:left="720" w:hanging="720"/>
        <w:jc w:val="both"/>
      </w:pPr>
      <w:r>
        <w:rPr>
          <w:rFonts w:ascii="Calibri" w:cs="Calibri" w:eastAsia="Calibri" w:hAnsi="Calibri"/>
          <w:sz w:val="21"/>
          <w:szCs w:val="21"/>
        </w:rPr>
        <w:t xml:space="preserve">18.1	</w:t>
      </w:r>
      <w:r>
        <w:rPr>
          <w:rFonts w:ascii="Calibri" w:cs="Calibri" w:eastAsia="Calibri" w:hAnsi="Calibri"/>
          <w:sz w:val="21"/>
          <w:szCs w:val="21"/>
        </w:rPr>
        <w:t xml:space="preserve">The Service Provider shall maintain complete and accurate records relating to the Services, the Charges and its compliance with this Agreement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the relevant SOW ends.</w:t>
      </w:r>
    </w:p>
    <w:p>
      <w:pPr>
        <w:spacing w:after="120" w:before="60" w:line="276"/>
        <w:ind w:left="720" w:hanging="720"/>
        <w:jc w:val="both"/>
      </w:pPr>
      <w:r>
        <w:rPr>
          <w:rFonts w:ascii="Calibri" w:cs="Calibri" w:eastAsia="Calibri" w:hAnsi="Calibri"/>
          <w:sz w:val="21"/>
          <w:szCs w:val="21"/>
        </w:rPr>
        <w:t xml:space="preserve">18.2	</w:t>
      </w:r>
      <w:r>
        <w:rPr>
          <w:rFonts w:ascii="Calibri" w:cs="Calibri" w:eastAsia="Calibri" w:hAnsi="Calibri"/>
          <w:sz w:val="21"/>
          <w:szCs w:val="21"/>
        </w:rPr>
        <w:t xml:space="preserve">The Client and its auditors may, on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written notice and not more than </w:t>
      </w:r>
      <w:r>
        <w:rPr>
          <w:rFonts w:ascii="Calibri" w:cs="Calibri" w:eastAsia="Calibri" w:hAnsi="Calibri"/>
          <w:b/>
          <w:bCs/>
          <w:sz w:val="21"/>
          <w:szCs w:val="21"/>
        </w:rPr>
        <w:t xml:space="preserve">[NUMBER]</w:t>
      </w:r>
      <w:r>
        <w:rPr>
          <w:rFonts w:ascii="Calibri" w:cs="Calibri" w:eastAsia="Calibri" w:hAnsi="Calibri"/>
          <w:sz w:val="21"/>
          <w:szCs w:val="21"/>
        </w:rPr>
        <w:t xml:space="preserve"> times in any twelve-month period (or at any time following a breach, a security incident or a regulatory direction), audit those records and the Service Provider’s relevant systems, processes and premises. The Service Provider shall provide reasonable cooperation.</w:t>
      </w:r>
    </w:p>
    <w:p>
      <w:pPr>
        <w:spacing w:after="120" w:before="60" w:line="276"/>
        <w:ind w:left="720" w:hanging="720"/>
        <w:jc w:val="both"/>
      </w:pPr>
      <w:r>
        <w:rPr>
          <w:rFonts w:ascii="Calibri" w:cs="Calibri" w:eastAsia="Calibri" w:hAnsi="Calibri"/>
          <w:sz w:val="21"/>
          <w:szCs w:val="21"/>
        </w:rPr>
        <w:t xml:space="preserve">18.3	</w:t>
      </w:r>
      <w:r>
        <w:rPr>
          <w:rFonts w:ascii="Calibri" w:cs="Calibri" w:eastAsia="Calibri" w:hAnsi="Calibri"/>
          <w:sz w:val="21"/>
          <w:szCs w:val="21"/>
        </w:rPr>
        <w:t xml:space="preserve">If an audit reveals an overcharge, the Service Provider shall refund the excess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if the overcharge exceeds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amounts audited, the Service Provider shall also bear the reasonable cost of the audit.</w:t>
      </w:r>
    </w:p>
    <w:p>
      <w:pPr>
        <w:keepNext/>
        <w:spacing w:after="120" w:before="280"/>
        <w:outlineLvl w:val="0"/>
      </w:pPr>
      <w:r>
        <w:rPr>
          <w:rFonts w:ascii="Calibri" w:cs="Calibri" w:eastAsia="Calibri" w:hAnsi="Calibri"/>
          <w:b/>
          <w:bCs/>
          <w:color w:val="14161B"/>
          <w:sz w:val="22"/>
          <w:szCs w:val="22"/>
        </w:rPr>
        <w:t xml:space="preserve">19. NON-SOLICITATION</w:t>
      </w:r>
    </w:p>
    <w:p>
      <w:pPr>
        <w:spacing w:after="120" w:before="60" w:line="276"/>
        <w:ind w:left="720" w:hanging="720"/>
        <w:jc w:val="both"/>
      </w:pPr>
      <w:r>
        <w:rPr>
          <w:rFonts w:ascii="Calibri" w:cs="Calibri" w:eastAsia="Calibri" w:hAnsi="Calibri"/>
          <w:sz w:val="21"/>
          <w:szCs w:val="21"/>
        </w:rPr>
        <w:t xml:space="preserve">19.1	</w:t>
      </w:r>
      <w:r>
        <w:rPr>
          <w:rFonts w:ascii="Calibri" w:cs="Calibri" w:eastAsia="Calibri" w:hAnsi="Calibri"/>
          <w:sz w:val="21"/>
          <w:szCs w:val="21"/>
        </w:rPr>
        <w:t xml:space="preserve">During the term and for </w:t>
      </w:r>
      <w:r>
        <w:rPr>
          <w:rFonts w:ascii="Calibri" w:cs="Calibri" w:eastAsia="Calibri" w:hAnsi="Calibri"/>
          <w:b/>
          <w:bCs/>
          <w:sz w:val="21"/>
          <w:szCs w:val="21"/>
        </w:rPr>
        <w:t xml:space="preserve">[PERIOD]</w:t>
      </w:r>
      <w:r>
        <w:rPr>
          <w:rFonts w:ascii="Calibri" w:cs="Calibri" w:eastAsia="Calibri" w:hAnsi="Calibri"/>
          <w:sz w:val="21"/>
          <w:szCs w:val="21"/>
        </w:rPr>
        <w:t xml:space="preserve"> thereafter, neither Party shall solicit for employment or engagement any employee of the other Party who has been directly involved in the Services, except through general recruitment advertising not targeted at that Party’s personnel or where the individual approaches the hiring Party on his or her own initiative.</w:t>
      </w:r>
    </w:p>
    <w:p>
      <w:pPr>
        <w:spacing w:after="120" w:before="60" w:line="276"/>
        <w:ind w:left="720" w:hanging="720"/>
        <w:jc w:val="both"/>
      </w:pPr>
      <w:r>
        <w:rPr>
          <w:rFonts w:ascii="Calibri" w:cs="Calibri" w:eastAsia="Calibri" w:hAnsi="Calibri"/>
          <w:sz w:val="21"/>
          <w:szCs w:val="21"/>
        </w:rPr>
        <w:t xml:space="preserve">19.2	</w:t>
      </w:r>
      <w:r>
        <w:rPr>
          <w:rFonts w:ascii="Calibri" w:cs="Calibri" w:eastAsia="Calibri" w:hAnsi="Calibri"/>
          <w:sz w:val="21"/>
          <w:szCs w:val="21"/>
        </w:rPr>
        <w:t xml:space="preserve">This Agreement contains no restriction on either Party competing after termination. </w:t>
      </w:r>
      <w:r>
        <w:rPr>
          <w:rFonts w:ascii="Calibri" w:cs="Calibri" w:eastAsia="Calibri" w:hAnsi="Calibri"/>
          <w:i/>
          <w:iCs/>
          <w:color w:val="6E7480"/>
          <w:sz w:val="21"/>
          <w:szCs w:val="21"/>
        </w:rPr>
        <w:t xml:space="preserve">Section 27 of the Indian Contract Act, 1872 renders post-termination restraints of trade void; a non-solicitation clause of the kind above is the enforceable protection available.</w:t>
      </w:r>
    </w:p>
    <w:p>
      <w:pPr>
        <w:keepNext/>
        <w:spacing w:after="120" w:before="280"/>
        <w:outlineLvl w:val="0"/>
      </w:pPr>
      <w:r>
        <w:rPr>
          <w:rFonts w:ascii="Calibri" w:cs="Calibri" w:eastAsia="Calibri" w:hAnsi="Calibri"/>
          <w:b/>
          <w:bCs/>
          <w:color w:val="14161B"/>
          <w:sz w:val="22"/>
          <w:szCs w:val="22"/>
        </w:rPr>
        <w:t xml:space="preserve">20. FORCE MAJEURE</w:t>
      </w:r>
    </w:p>
    <w:p>
      <w:pPr>
        <w:spacing w:after="120" w:before="60" w:line="276"/>
        <w:ind w:left="720" w:hanging="720"/>
        <w:jc w:val="both"/>
      </w:pPr>
      <w:r>
        <w:rPr>
          <w:rFonts w:ascii="Calibri" w:cs="Calibri" w:eastAsia="Calibri" w:hAnsi="Calibri"/>
          <w:sz w:val="21"/>
          <w:szCs w:val="21"/>
        </w:rPr>
        <w:t xml:space="preserve">20.1	</w:t>
      </w:r>
      <w:r>
        <w:rPr>
          <w:rFonts w:ascii="Calibri" w:cs="Calibri" w:eastAsia="Calibri" w:hAnsi="Calibri"/>
          <w:sz w:val="21"/>
          <w:szCs w:val="21"/>
        </w:rPr>
        <w:t xml:space="preserve">Neither Party is liable for failure or delay in performance (other than an obligation to pay money that has fallen due) caused by an event beyond its reasonable control, including act of God, flood, earthquake, fire, epidemic or pandemic, war, terrorism, civil unrest, act of government, or failure of public infrastructure or telecommunications networks, provided the affected Party notifies the other promptly and uses reasonable endeavours to mitigate and resume performance.</w:t>
      </w:r>
    </w:p>
    <w:p>
      <w:pPr>
        <w:spacing w:after="120" w:before="60" w:line="276"/>
        <w:ind w:left="720" w:hanging="720"/>
        <w:jc w:val="both"/>
      </w:pPr>
      <w:r>
        <w:rPr>
          <w:rFonts w:ascii="Calibri" w:cs="Calibri" w:eastAsia="Calibri" w:hAnsi="Calibri"/>
          <w:sz w:val="21"/>
          <w:szCs w:val="21"/>
        </w:rPr>
        <w:t xml:space="preserve">20.2	</w:t>
      </w:r>
      <w:r>
        <w:rPr>
          <w:rFonts w:ascii="Calibri" w:cs="Calibri" w:eastAsia="Calibri" w:hAnsi="Calibri"/>
          <w:sz w:val="21"/>
          <w:szCs w:val="21"/>
        </w:rPr>
        <w:t xml:space="preserve">A failure of the Service Provider’s own subcontractor, or of its own systems, is not a force majeure event unless it is itself caused by an event of the kind described in Clause 20.1.</w:t>
      </w:r>
    </w:p>
    <w:p>
      <w:pPr>
        <w:spacing w:after="120" w:before="60" w:line="276"/>
        <w:ind w:left="720" w:hanging="720"/>
        <w:jc w:val="both"/>
      </w:pPr>
      <w:r>
        <w:rPr>
          <w:rFonts w:ascii="Calibri" w:cs="Calibri" w:eastAsia="Calibri" w:hAnsi="Calibri"/>
          <w:sz w:val="21"/>
          <w:szCs w:val="21"/>
        </w:rPr>
        <w:t xml:space="preserve">20.3	</w:t>
      </w:r>
      <w:r>
        <w:rPr>
          <w:rFonts w:ascii="Calibri" w:cs="Calibri" w:eastAsia="Calibri" w:hAnsi="Calibri"/>
          <w:sz w:val="21"/>
          <w:szCs w:val="21"/>
        </w:rPr>
        <w:t xml:space="preserve">If the event continues for more than </w:t>
      </w:r>
      <w:r>
        <w:rPr>
          <w:rFonts w:ascii="Calibri" w:cs="Calibri" w:eastAsia="Calibri" w:hAnsi="Calibri"/>
          <w:b/>
          <w:bCs/>
          <w:sz w:val="21"/>
          <w:szCs w:val="21"/>
        </w:rPr>
        <w:t xml:space="preserve">[NUMBER]</w:t>
      </w:r>
      <w:r>
        <w:rPr>
          <w:rFonts w:ascii="Calibri" w:cs="Calibri" w:eastAsia="Calibri" w:hAnsi="Calibri"/>
          <w:sz w:val="21"/>
          <w:szCs w:val="21"/>
        </w:rPr>
        <w:t xml:space="preserve"> consecutive days, either Party may terminate the affected SOW on written notice without liability, save for amounts accrued before the event.</w:t>
      </w:r>
    </w:p>
    <w:p>
      <w:pPr>
        <w:keepNext/>
        <w:spacing w:after="120" w:before="280"/>
        <w:outlineLvl w:val="0"/>
      </w:pPr>
      <w:r>
        <w:rPr>
          <w:rFonts w:ascii="Calibri" w:cs="Calibri" w:eastAsia="Calibri" w:hAnsi="Calibri"/>
          <w:b/>
          <w:bCs/>
          <w:color w:val="14161B"/>
          <w:sz w:val="22"/>
          <w:szCs w:val="22"/>
        </w:rPr>
        <w:t xml:space="preserve">21. RELATIONSHIP OF THE PARTIES</w:t>
      </w:r>
    </w:p>
    <w:p>
      <w:pPr>
        <w:spacing w:after="120" w:before="60" w:line="276"/>
        <w:ind w:left="720" w:hanging="720"/>
        <w:jc w:val="both"/>
      </w:pPr>
      <w:r>
        <w:rPr>
          <w:rFonts w:ascii="Calibri" w:cs="Calibri" w:eastAsia="Calibri" w:hAnsi="Calibri"/>
          <w:sz w:val="21"/>
          <w:szCs w:val="21"/>
        </w:rPr>
        <w:t xml:space="preserve">21.1	</w:t>
      </w:r>
      <w:r>
        <w:rPr>
          <w:rFonts w:ascii="Calibri" w:cs="Calibri" w:eastAsia="Calibri" w:hAnsi="Calibri"/>
          <w:sz w:val="21"/>
          <w:szCs w:val="21"/>
        </w:rPr>
        <w:t xml:space="preserve">The Service Provider is an independent contractor. Nothing in this Agreement creates a partnership, joint venture, agency or employment relationship, and neither Party may bind the other.</w:t>
      </w:r>
    </w:p>
    <w:p>
      <w:pPr>
        <w:spacing w:after="120" w:before="60" w:line="276"/>
        <w:ind w:left="720" w:hanging="720"/>
        <w:jc w:val="both"/>
      </w:pPr>
      <w:r>
        <w:rPr>
          <w:rFonts w:ascii="Calibri" w:cs="Calibri" w:eastAsia="Calibri" w:hAnsi="Calibri"/>
          <w:sz w:val="21"/>
          <w:szCs w:val="21"/>
        </w:rPr>
        <w:t xml:space="preserve">21.2	</w:t>
      </w:r>
      <w:r>
        <w:rPr>
          <w:rFonts w:ascii="Calibri" w:cs="Calibri" w:eastAsia="Calibri" w:hAnsi="Calibri"/>
          <w:sz w:val="21"/>
          <w:szCs w:val="21"/>
        </w:rPr>
        <w:t xml:space="preserve">The Service Provider is responsible for all taxes, statutory contributions and employment obligations relating to its Personnel.</w:t>
      </w:r>
    </w:p>
    <w:p>
      <w:pPr>
        <w:keepNext/>
        <w:spacing w:after="120" w:before="280"/>
        <w:outlineLvl w:val="0"/>
      </w:pPr>
      <w:r>
        <w:rPr>
          <w:rFonts w:ascii="Calibri" w:cs="Calibri" w:eastAsia="Calibri" w:hAnsi="Calibri"/>
          <w:b/>
          <w:bCs/>
          <w:color w:val="14161B"/>
          <w:sz w:val="22"/>
          <w:szCs w:val="22"/>
        </w:rPr>
        <w:t xml:space="preserve">22. GOVERNING LAW AND DISPUTE RESOLUTION</w:t>
      </w:r>
    </w:p>
    <w:p>
      <w:pPr>
        <w:spacing w:after="120" w:before="60" w:line="276"/>
        <w:ind w:left="720" w:hanging="720"/>
        <w:jc w:val="both"/>
      </w:pPr>
      <w:r>
        <w:rPr>
          <w:rFonts w:ascii="Calibri" w:cs="Calibri" w:eastAsia="Calibri" w:hAnsi="Calibri"/>
          <w:sz w:val="21"/>
          <w:szCs w:val="21"/>
        </w:rPr>
        <w:t xml:space="preserve">22.1	</w:t>
      </w:r>
      <w:r>
        <w:rPr>
          <w:rFonts w:ascii="Calibri" w:cs="Calibri" w:eastAsia="Calibri" w:hAnsi="Calibri"/>
          <w:sz w:val="21"/>
          <w:szCs w:val="21"/>
        </w:rPr>
        <w:t xml:space="preserve">This Agreement is governed by and construed in accordance with the laws of India.</w:t>
      </w:r>
    </w:p>
    <w:p>
      <w:pPr>
        <w:spacing w:after="120" w:before="60" w:line="276"/>
        <w:ind w:left="720" w:hanging="720"/>
        <w:jc w:val="both"/>
      </w:pPr>
      <w:r>
        <w:rPr>
          <w:rFonts w:ascii="Calibri" w:cs="Calibri" w:eastAsia="Calibri" w:hAnsi="Calibri"/>
          <w:sz w:val="21"/>
          <w:szCs w:val="21"/>
        </w:rPr>
        <w:t xml:space="preserve">22.2	</w:t>
      </w:r>
      <w:r>
        <w:rPr>
          <w:rFonts w:ascii="Calibri" w:cs="Calibri" w:eastAsia="Calibri" w:hAnsi="Calibri"/>
          <w:sz w:val="21"/>
          <w:szCs w:val="21"/>
        </w:rPr>
        <w:t xml:space="preserve">The Parties shall attempt in good faith to resolve any dispute by escalation — first to the respective engagement managers, and if unresolved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to a senior executive of each Party.</w:t>
      </w:r>
    </w:p>
    <w:p>
      <w:pPr>
        <w:spacing w:after="120" w:before="60" w:line="276"/>
        <w:ind w:left="720" w:hanging="720"/>
        <w:jc w:val="both"/>
      </w:pPr>
      <w:r>
        <w:rPr>
          <w:rFonts w:ascii="Calibri" w:cs="Calibri" w:eastAsia="Calibri" w:hAnsi="Calibri"/>
          <w:sz w:val="21"/>
          <w:szCs w:val="21"/>
        </w:rPr>
        <w:t xml:space="preserve">22.3	</w:t>
      </w:r>
      <w:r>
        <w:rPr>
          <w:rFonts w:ascii="Calibri" w:cs="Calibri" w:eastAsia="Calibri" w:hAnsi="Calibri"/>
          <w:sz w:val="21"/>
          <w:szCs w:val="21"/>
        </w:rPr>
        <w:t xml:space="preserve">Any dispute not resolved under Clause 22.2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shall be finally resolved by arbitration under the Arbitration and Conciliation Act, 1996 by </w:t>
      </w:r>
      <w:r>
        <w:rPr>
          <w:rFonts w:ascii="Calibri" w:cs="Calibri" w:eastAsia="Calibri" w:hAnsi="Calibri"/>
          <w:b/>
          <w:bCs/>
          <w:sz w:val="21"/>
          <w:szCs w:val="21"/>
        </w:rPr>
        <w:t xml:space="preserve">[NUMBER OF ARBITRATORS — one (1) or three (3)]</w:t>
      </w:r>
      <w:r>
        <w:rPr>
          <w:rFonts w:ascii="Calibri" w:cs="Calibri" w:eastAsia="Calibri" w:hAnsi="Calibri"/>
          <w:sz w:val="21"/>
          <w:szCs w:val="21"/>
        </w:rPr>
        <w:t xml:space="preserve"> arbitrator(s) appointed by agreement between the Parties, failing which by the court exercising jurisdiction under Section 11 of that Act. The seat and venue shall be </w:t>
      </w:r>
      <w:r>
        <w:rPr>
          <w:rFonts w:ascii="Calibri" w:cs="Calibri" w:eastAsia="Calibri" w:hAnsi="Calibri"/>
          <w:b/>
          <w:bCs/>
          <w:sz w:val="21"/>
          <w:szCs w:val="21"/>
        </w:rPr>
        <w:t xml:space="preserve">[CITY]</w:t>
      </w:r>
      <w:r>
        <w:rPr>
          <w:rFonts w:ascii="Calibri" w:cs="Calibri" w:eastAsia="Calibri" w:hAnsi="Calibri"/>
          <w:sz w:val="21"/>
          <w:szCs w:val="21"/>
        </w:rPr>
        <w:t xml:space="preserve">, India, and the language English.</w:t>
      </w:r>
    </w:p>
    <w:p>
      <w:pPr>
        <w:spacing w:after="120" w:before="60" w:line="276"/>
        <w:ind w:left="720" w:hanging="720"/>
        <w:jc w:val="both"/>
      </w:pPr>
      <w:r>
        <w:rPr>
          <w:rFonts w:ascii="Calibri" w:cs="Calibri" w:eastAsia="Calibri" w:hAnsi="Calibri"/>
          <w:sz w:val="21"/>
          <w:szCs w:val="21"/>
        </w:rPr>
        <w:t xml:space="preserve">22.4	</w:t>
      </w:r>
      <w:r>
        <w:rPr>
          <w:rFonts w:ascii="Calibri" w:cs="Calibri" w:eastAsia="Calibri" w:hAnsi="Calibri"/>
          <w:sz w:val="21"/>
          <w:szCs w:val="21"/>
        </w:rPr>
        <w:t xml:space="preserve">Nothing prevents either Party from seeking urgent interim relief from a court, including under Section 9 of that Act. Subject to Clause 22.3,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have exclusive jurisdiction.</w:t>
      </w:r>
    </w:p>
    <w:p>
      <w:pPr>
        <w:spacing w:after="120" w:before="60" w:line="276"/>
        <w:ind w:left="720" w:hanging="720"/>
        <w:jc w:val="both"/>
      </w:pPr>
      <w:r>
        <w:rPr>
          <w:rFonts w:ascii="Calibri" w:cs="Calibri" w:eastAsia="Calibri" w:hAnsi="Calibri"/>
          <w:sz w:val="21"/>
          <w:szCs w:val="21"/>
        </w:rPr>
        <w:t xml:space="preserve">22.5	</w:t>
      </w:r>
      <w:r>
        <w:rPr>
          <w:rFonts w:ascii="Calibri" w:cs="Calibri" w:eastAsia="Calibri" w:hAnsi="Calibri"/>
          <w:sz w:val="21"/>
          <w:szCs w:val="21"/>
        </w:rPr>
        <w:t xml:space="preserve">The Parties shall continue to perform their obligations during any dispute, save where performance is the subject of the dispute.</w:t>
      </w:r>
    </w:p>
    <w:p>
      <w:pPr>
        <w:keepNext/>
        <w:spacing w:after="120" w:before="280"/>
        <w:outlineLvl w:val="0"/>
      </w:pPr>
      <w:r>
        <w:rPr>
          <w:rFonts w:ascii="Calibri" w:cs="Calibri" w:eastAsia="Calibri" w:hAnsi="Calibri"/>
          <w:b/>
          <w:bCs/>
          <w:color w:val="14161B"/>
          <w:sz w:val="22"/>
          <w:szCs w:val="22"/>
        </w:rPr>
        <w:t xml:space="preserve">23. GENERAL</w:t>
      </w:r>
    </w:p>
    <w:p>
      <w:pPr>
        <w:spacing w:after="120" w:before="60" w:line="276"/>
        <w:ind w:left="720" w:hanging="720"/>
        <w:jc w:val="both"/>
      </w:pPr>
      <w:r>
        <w:rPr>
          <w:rFonts w:ascii="Calibri" w:cs="Calibri" w:eastAsia="Calibri" w:hAnsi="Calibri"/>
          <w:sz w:val="21"/>
          <w:szCs w:val="21"/>
        </w:rPr>
        <w:t xml:space="preserve">23.1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and sent by hand, courier, registered post or email to the addresses in the SOW or as notified. Notices of breach, termination or indemnity claims shall additionally be sent by courier or registered post.</w:t>
      </w:r>
    </w:p>
    <w:p>
      <w:pPr>
        <w:spacing w:after="120" w:before="60" w:line="276"/>
        <w:ind w:left="720" w:hanging="720"/>
        <w:jc w:val="both"/>
      </w:pPr>
      <w:r>
        <w:rPr>
          <w:rFonts w:ascii="Calibri" w:cs="Calibri" w:eastAsia="Calibri" w:hAnsi="Calibri"/>
          <w:sz w:val="21"/>
          <w:szCs w:val="21"/>
        </w:rPr>
        <w:t xml:space="preserve">23.2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and the SOWs constitute the entire agreement between the Parties and supersede all prior arrangements relating to their subject matter. Each Party acknowledges that it does not rely on any statement not set out in this Agreement, save that nothing limits liability for fraud.</w:t>
      </w:r>
    </w:p>
    <w:p>
      <w:pPr>
        <w:spacing w:after="120" w:before="60" w:line="276"/>
        <w:ind w:left="720" w:hanging="720"/>
        <w:jc w:val="both"/>
      </w:pPr>
      <w:r>
        <w:rPr>
          <w:rFonts w:ascii="Calibri" w:cs="Calibri" w:eastAsia="Calibri" w:hAnsi="Calibri"/>
          <w:sz w:val="21"/>
          <w:szCs w:val="21"/>
        </w:rPr>
        <w:t xml:space="preserve">23.3	</w:t>
      </w:r>
      <w:r>
        <w:rPr>
          <w:rFonts w:ascii="Calibri" w:cs="Calibri" w:eastAsia="Calibri" w:hAnsi="Calibri"/>
          <w:b/>
          <w:bCs/>
          <w:sz w:val="21"/>
          <w:szCs w:val="21"/>
        </w:rPr>
        <w:t xml:space="preserve">Amendment.</w:t>
      </w:r>
      <w:r>
        <w:rPr>
          <w:rFonts w:ascii="Calibri" w:cs="Calibri" w:eastAsia="Calibri" w:hAnsi="Calibri"/>
          <w:sz w:val="21"/>
          <w:szCs w:val="21"/>
        </w:rPr>
        <w:t xml:space="preserve"> Amendments must be in writing and signed by both Parties.</w:t>
      </w:r>
    </w:p>
    <w:p>
      <w:pPr>
        <w:spacing w:after="120" w:before="60" w:line="276"/>
        <w:ind w:left="720" w:hanging="720"/>
        <w:jc w:val="both"/>
      </w:pPr>
      <w:r>
        <w:rPr>
          <w:rFonts w:ascii="Calibri" w:cs="Calibri" w:eastAsia="Calibri" w:hAnsi="Calibri"/>
          <w:sz w:val="21"/>
          <w:szCs w:val="21"/>
        </w:rPr>
        <w:t xml:space="preserve">23.4	</w:t>
      </w:r>
      <w:r>
        <w:rPr>
          <w:rFonts w:ascii="Calibri" w:cs="Calibri" w:eastAsia="Calibri" w:hAnsi="Calibri"/>
          <w:b/>
          <w:bCs/>
          <w:sz w:val="21"/>
          <w:szCs w:val="21"/>
        </w:rPr>
        <w:t xml:space="preserve">Assignment and subcontracting.</w:t>
      </w:r>
      <w:r>
        <w:rPr>
          <w:rFonts w:ascii="Calibri" w:cs="Calibri" w:eastAsia="Calibri" w:hAnsi="Calibri"/>
          <w:sz w:val="21"/>
          <w:szCs w:val="21"/>
        </w:rPr>
        <w:t xml:space="preserve"> Neither Party may assign this Agreement without the other’s prior written consent, save to an Affiliate or successor to its business on notice. The Service Provider may not subcontract any material part of the Services without the Client’s prior written consent, and remains liable for its subcontractors.</w:t>
      </w:r>
    </w:p>
    <w:p>
      <w:pPr>
        <w:spacing w:after="120" w:before="60" w:line="276"/>
        <w:ind w:left="720" w:hanging="720"/>
        <w:jc w:val="both"/>
      </w:pPr>
      <w:r>
        <w:rPr>
          <w:rFonts w:ascii="Calibri" w:cs="Calibri" w:eastAsia="Calibri" w:hAnsi="Calibri"/>
          <w:sz w:val="21"/>
          <w:szCs w:val="21"/>
        </w:rPr>
        <w:t xml:space="preserve">23.5	</w:t>
      </w:r>
      <w:r>
        <w:rPr>
          <w:rFonts w:ascii="Calibri" w:cs="Calibri" w:eastAsia="Calibri" w:hAnsi="Calibri"/>
          <w:b/>
          <w:bCs/>
          <w:sz w:val="21"/>
          <w:szCs w:val="21"/>
        </w:rPr>
        <w:t xml:space="preserve">Severability.</w:t>
      </w:r>
      <w:r>
        <w:rPr>
          <w:rFonts w:ascii="Calibri" w:cs="Calibri" w:eastAsia="Calibri" w:hAnsi="Calibri"/>
          <w:sz w:val="21"/>
          <w:szCs w:val="21"/>
        </w:rPr>
        <w:t xml:space="preserve"> Invalid provisions shall be severed and the remainder shall continue in effect.</w:t>
      </w:r>
    </w:p>
    <w:p>
      <w:pPr>
        <w:spacing w:after="120" w:before="60" w:line="276"/>
        <w:ind w:left="720" w:hanging="720"/>
        <w:jc w:val="both"/>
      </w:pPr>
      <w:r>
        <w:rPr>
          <w:rFonts w:ascii="Calibri" w:cs="Calibri" w:eastAsia="Calibri" w:hAnsi="Calibri"/>
          <w:sz w:val="21"/>
          <w:szCs w:val="21"/>
        </w:rPr>
        <w:t xml:space="preserve">23.6	</w:t>
      </w:r>
      <w:r>
        <w:rPr>
          <w:rFonts w:ascii="Calibri" w:cs="Calibri" w:eastAsia="Calibri" w:hAnsi="Calibri"/>
          <w:b/>
          <w:bCs/>
          <w:sz w:val="21"/>
          <w:szCs w:val="21"/>
        </w:rPr>
        <w:t xml:space="preserve">Waiver.</w:t>
      </w:r>
      <w:r>
        <w:rPr>
          <w:rFonts w:ascii="Calibri" w:cs="Calibri" w:eastAsia="Calibri" w:hAnsi="Calibri"/>
          <w:sz w:val="21"/>
          <w:szCs w:val="21"/>
        </w:rPr>
        <w:t xml:space="preserve"> No failure or delay in exercising a right is a waiver of it.</w:t>
      </w:r>
    </w:p>
    <w:p>
      <w:pPr>
        <w:spacing w:after="120" w:before="60" w:line="276"/>
        <w:ind w:left="720" w:hanging="720"/>
        <w:jc w:val="both"/>
      </w:pPr>
      <w:r>
        <w:rPr>
          <w:rFonts w:ascii="Calibri" w:cs="Calibri" w:eastAsia="Calibri" w:hAnsi="Calibri"/>
          <w:sz w:val="21"/>
          <w:szCs w:val="21"/>
        </w:rPr>
        <w:t xml:space="preserve">23.7	</w:t>
      </w:r>
      <w:r>
        <w:rPr>
          <w:rFonts w:ascii="Calibri" w:cs="Calibri" w:eastAsia="Calibri" w:hAnsi="Calibri"/>
          <w:b/>
          <w:bCs/>
          <w:sz w:val="21"/>
          <w:szCs w:val="21"/>
        </w:rPr>
        <w:t xml:space="preserve">Third parties.</w:t>
      </w:r>
      <w:r>
        <w:rPr>
          <w:rFonts w:ascii="Calibri" w:cs="Calibri" w:eastAsia="Calibri" w:hAnsi="Calibri"/>
          <w:sz w:val="21"/>
          <w:szCs w:val="21"/>
        </w:rPr>
        <w:t xml:space="preserve"> No person other than a Party has any right to enforce this Agreement.</w:t>
      </w:r>
    </w:p>
    <w:p>
      <w:pPr>
        <w:spacing w:after="120" w:before="60" w:line="276"/>
        <w:ind w:left="720" w:hanging="720"/>
        <w:jc w:val="both"/>
      </w:pPr>
      <w:r>
        <w:rPr>
          <w:rFonts w:ascii="Calibri" w:cs="Calibri" w:eastAsia="Calibri" w:hAnsi="Calibri"/>
          <w:sz w:val="21"/>
          <w:szCs w:val="21"/>
        </w:rPr>
        <w:t xml:space="preserve">23.8	</w:t>
      </w:r>
      <w:r>
        <w:rPr>
          <w:rFonts w:ascii="Calibri" w:cs="Calibri" w:eastAsia="Calibri" w:hAnsi="Calibri"/>
          <w:b/>
          <w:bCs/>
          <w:sz w:val="21"/>
          <w:szCs w:val="21"/>
        </w:rPr>
        <w:t xml:space="preserve">Counterparts and electronic execution.</w:t>
      </w:r>
      <w:r>
        <w:rPr>
          <w:rFonts w:ascii="Calibri" w:cs="Calibri" w:eastAsia="Calibri" w:hAnsi="Calibri"/>
          <w:sz w:val="21"/>
          <w:szCs w:val="21"/>
        </w:rPr>
        <w:t xml:space="preserve"> This Agreement may be executed in counterparts and by electronic signature, and has legal effect under Section 5 of the Information Technology Act, 2000.</w:t>
      </w:r>
    </w:p>
    <w:p>
      <w:pPr>
        <w:spacing w:after="120" w:before="60" w:line="276"/>
        <w:ind w:left="720" w:hanging="720"/>
        <w:jc w:val="both"/>
      </w:pPr>
      <w:r>
        <w:rPr>
          <w:rFonts w:ascii="Calibri" w:cs="Calibri" w:eastAsia="Calibri" w:hAnsi="Calibri"/>
          <w:sz w:val="21"/>
          <w:szCs w:val="21"/>
        </w:rPr>
        <w:t xml:space="preserve">23.9	</w:t>
      </w:r>
      <w:r>
        <w:rPr>
          <w:rFonts w:ascii="Calibri" w:cs="Calibri" w:eastAsia="Calibri" w:hAnsi="Calibri"/>
          <w:b/>
          <w:bCs/>
          <w:sz w:val="21"/>
          <w:szCs w:val="21"/>
        </w:rPr>
        <w:t xml:space="preserve">Stamp duty.</w:t>
      </w:r>
      <w:r>
        <w:rPr>
          <w:rFonts w:ascii="Calibri" w:cs="Calibri" w:eastAsia="Calibri" w:hAnsi="Calibri"/>
          <w:sz w:val="21"/>
          <w:szCs w:val="21"/>
        </w:rPr>
        <w:t xml:space="preserve"> Stamp duty, if any, shall be borne by </w:t>
      </w:r>
      <w:r>
        <w:rPr>
          <w:rFonts w:ascii="Calibri" w:cs="Calibri" w:eastAsia="Calibri" w:hAnsi="Calibri"/>
          <w:b/>
          <w:bCs/>
          <w:sz w:val="21"/>
          <w:szCs w:val="21"/>
        </w:rPr>
        <w:t xml:space="preserve">[PARTY BEARING STAMP DUTY]</w:t>
      </w:r>
      <w:r>
        <w:rPr>
          <w:rFonts w:ascii="Calibri" w:cs="Calibri" w:eastAsia="Calibri" w:hAnsi="Calibri"/>
          <w:sz w:val="21"/>
          <w:szCs w:val="21"/>
        </w:rPr>
        <w:t xml:space="preserve">.</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[CLIENT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[SERVICE PROVIDER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Form of Statement of Work</w:t>
      </w:r>
    </w:p>
    <w:p>
      <w:pPr>
        <w:spacing w:after="140" w:before="0" w:line="276"/>
        <w:jc w:val="both"/>
      </w:pPr>
      <w:r>
        <w:rPr>
          <w:rFonts w:ascii="Calibri" w:cs="Calibri" w:eastAsia="Calibri" w:hAnsi="Calibri"/>
          <w:sz w:val="21"/>
          <w:szCs w:val="21"/>
        </w:rPr>
        <w:t xml:space="preserve">This Statement of Work ("</w:t>
      </w:r>
      <w:r>
        <w:rPr>
          <w:rFonts w:ascii="Calibri" w:cs="Calibri" w:eastAsia="Calibri" w:hAnsi="Calibri"/>
          <w:b/>
          <w:bCs/>
          <w:sz w:val="21"/>
          <w:szCs w:val="21"/>
        </w:rPr>
        <w:t xml:space="preserve">SOW</w:t>
      </w:r>
      <w:r>
        <w:rPr>
          <w:rFonts w:ascii="Calibri" w:cs="Calibri" w:eastAsia="Calibri" w:hAnsi="Calibri"/>
          <w:sz w:val="21"/>
          <w:szCs w:val="21"/>
        </w:rPr>
        <w:t xml:space="preserve">") No. </w:t>
      </w:r>
      <w:r>
        <w:rPr>
          <w:rFonts w:ascii="Calibri" w:cs="Calibri" w:eastAsia="Calibri" w:hAnsi="Calibri"/>
          <w:b/>
          <w:bCs/>
          <w:sz w:val="21"/>
          <w:szCs w:val="21"/>
        </w:rPr>
        <w:t xml:space="preserve">[SOW NUMBER]</w:t>
      </w:r>
      <w:r>
        <w:rPr>
          <w:rFonts w:ascii="Calibri" w:cs="Calibri" w:eastAsia="Calibri" w:hAnsi="Calibri"/>
          <w:sz w:val="21"/>
          <w:szCs w:val="21"/>
        </w:rPr>
        <w:t xml:space="preserve"> is entered into on </w:t>
      </w:r>
      <w:r>
        <w:rPr>
          <w:rFonts w:ascii="Calibri" w:cs="Calibri" w:eastAsia="Calibri" w:hAnsi="Calibri"/>
          <w:b/>
          <w:bCs/>
          <w:sz w:val="21"/>
          <w:szCs w:val="21"/>
        </w:rPr>
        <w:t xml:space="preserve">[DATE]</w:t>
      </w:r>
      <w:r>
        <w:rPr>
          <w:rFonts w:ascii="Calibri" w:cs="Calibri" w:eastAsia="Calibri" w:hAnsi="Calibri"/>
          <w:sz w:val="21"/>
          <w:szCs w:val="21"/>
        </w:rPr>
        <w:t xml:space="preserve"> between </w:t>
      </w:r>
      <w:r>
        <w:rPr>
          <w:rFonts w:ascii="Calibri" w:cs="Calibri" w:eastAsia="Calibri" w:hAnsi="Calibri"/>
          <w:b/>
          <w:bCs/>
          <w:sz w:val="21"/>
          <w:szCs w:val="21"/>
        </w:rPr>
        <w:t xml:space="preserve">[CLIENT NAME]</w:t>
      </w:r>
      <w:r>
        <w:rPr>
          <w:rFonts w:ascii="Calibri" w:cs="Calibri" w:eastAsia="Calibri" w:hAnsi="Calibri"/>
          <w:sz w:val="21"/>
          <w:szCs w:val="21"/>
        </w:rPr>
        <w:t xml:space="preserve"> and </w:t>
      </w:r>
      <w:r>
        <w:rPr>
          <w:rFonts w:ascii="Calibri" w:cs="Calibri" w:eastAsia="Calibri" w:hAnsi="Calibri"/>
          <w:b/>
          <w:bCs/>
          <w:sz w:val="21"/>
          <w:szCs w:val="21"/>
        </w:rPr>
        <w:t xml:space="preserve">[SERVICE PROVIDER NAME]</w:t>
      </w:r>
      <w:r>
        <w:rPr>
          <w:rFonts w:ascii="Calibri" w:cs="Calibri" w:eastAsia="Calibri" w:hAnsi="Calibri"/>
          <w:sz w:val="21"/>
          <w:szCs w:val="21"/>
        </w:rPr>
        <w:t xml:space="preserve"> under, and incorporates the terms of, the Master Services Agreement dated </w:t>
      </w:r>
      <w:r>
        <w:rPr>
          <w:rFonts w:ascii="Calibri" w:cs="Calibri" w:eastAsia="Calibri" w:hAnsi="Calibri"/>
          <w:b/>
          <w:bCs/>
          <w:sz w:val="21"/>
          <w:szCs w:val="21"/>
        </w:rPr>
        <w:t xml:space="preserve">[DATE OF MSA]</w:t>
      </w:r>
      <w:r>
        <w:rPr>
          <w:rFonts w:ascii="Calibri" w:cs="Calibri" w:eastAsia="Calibri" w:hAnsi="Calibri"/>
          <w:sz w:val="21"/>
          <w:szCs w:val="21"/>
        </w:rPr>
        <w:t xml:space="preserve">.</w:t>
      </w:r>
    </w:p>
    <w:p>
      <w:pPr>
        <w:keepNext/>
        <w:spacing w:after="100" w:before="200"/>
        <w:outlineLvl w:val="1"/>
      </w:pPr>
      <w:r>
        <w:rPr>
          <w:rFonts w:ascii="Calibri" w:cs="Calibri" w:eastAsia="Calibri" w:hAnsi="Calibri"/>
          <w:b/>
          <w:bCs/>
          <w:color w:val="14161B"/>
          <w:sz w:val="21"/>
          <w:szCs w:val="21"/>
        </w:rPr>
        <w:t xml:space="preserve">1. Engagement summary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SOW number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[SOW NUMBER]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Commencement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End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Engagement model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[FIXED PRICE / TIME AND MATERIALS / MANAGED SERVICE]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 engagement manager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DESIGNATION, EMAIL, PHONE]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 Provider engagement manager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DESIGNATION, EMAIL, PHONE]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Delivery location(s)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[ONSITE / OFFSHORE / HYBRID — specify addresses]</w:t>
            </w:r>
          </w:p>
        </w:tc>
      </w:tr>
    </w:tbl>
    <w:p>
      <w:pPr>
        <w:spacing w:after="140"/>
      </w:pPr>
    </w:p>
    <w:p>
      <w:pPr>
        <w:keepNext/>
        <w:spacing w:after="100" w:before="200"/>
        <w:outlineLvl w:val="1"/>
      </w:pPr>
      <w:r>
        <w:rPr>
          <w:rFonts w:ascii="Calibri" w:cs="Calibri" w:eastAsia="Calibri" w:hAnsi="Calibri"/>
          <w:b/>
          <w:bCs/>
          <w:color w:val="14161B"/>
          <w:sz w:val="21"/>
          <w:szCs w:val="21"/>
        </w:rPr>
        <w:t xml:space="preserve">2. Scope of services</w:t>
      </w:r>
    </w:p>
    <w:p>
      <w:pPr>
        <w:spacing w:after="100" w:before="0" w:line="276"/>
        <w:jc w:val="both"/>
      </w:pPr>
      <w:r>
        <w:rPr>
          <w:rFonts w:ascii="Calibri" w:cs="Calibri" w:eastAsia="Calibri" w:hAnsi="Calibri"/>
          <w:b/>
          <w:bCs/>
          <w:sz w:val="21"/>
          <w:szCs w:val="21"/>
        </w:rPr>
        <w:t xml:space="preserve">[DESCRIBE THE SERVICES IN DETAIL — activities, methodology, standards, tools, reporting cadence, governance meetings]</w:t>
      </w:r>
    </w:p>
    <w:p>
      <w:pPr>
        <w:spacing w:after="140" w:before="0" w:line="276"/>
        <w:jc w:val="both"/>
      </w:pPr>
      <w:r>
        <w:rPr>
          <w:rFonts w:ascii="Calibri" w:cs="Calibri" w:eastAsia="Calibri" w:hAnsi="Calibri"/>
          <w:b/>
          <w:bCs/>
          <w:sz w:val="21"/>
          <w:szCs w:val="21"/>
        </w:rPr>
        <w:t xml:space="preserve">Out of scope.</w:t>
      </w:r>
      <w:r>
        <w:rPr>
          <w:rFonts w:ascii="Calibri" w:cs="Calibri" w:eastAsia="Calibri" w:hAnsi="Calibri"/>
          <w:sz w:val="21"/>
          <w:szCs w:val="21"/>
        </w:rPr>
        <w:t xml:space="preserve"> The following are expressly excluded and, if required, shall be dealt with under Clause 5 (Change control): </w:t>
      </w:r>
      <w:r>
        <w:rPr>
          <w:rFonts w:ascii="Calibri" w:cs="Calibri" w:eastAsia="Calibri" w:hAnsi="Calibri"/>
          <w:b/>
          <w:bCs/>
          <w:sz w:val="21"/>
          <w:szCs w:val="21"/>
        </w:rPr>
        <w:t xml:space="preserve">[LIST EXCLUSIONS]</w:t>
      </w:r>
    </w:p>
    <w:p>
      <w:pPr>
        <w:keepNext/>
        <w:spacing w:after="100" w:before="200"/>
        <w:outlineLvl w:val="1"/>
      </w:pPr>
      <w:r>
        <w:rPr>
          <w:rFonts w:ascii="Calibri" w:cs="Calibri" w:eastAsia="Calibri" w:hAnsi="Calibri"/>
          <w:b/>
          <w:bCs/>
          <w:color w:val="14161B"/>
          <w:sz w:val="21"/>
          <w:szCs w:val="21"/>
        </w:rPr>
        <w:t xml:space="preserve">3. Deliverables, milestones and acceptance criteria</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505"/>
        <w:gridCol w:w="1445"/>
        <w:gridCol w:w="3276"/>
        <w:gridCol w:w="1931"/>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144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Milestone date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Acceptance criteria</w:t>
            </w:r>
          </w:p>
        </w:tc>
        <w:tc>
          <w:tcPr>
            <w:tcW w:type="dxa" w:w="1931"/>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Linked payment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OR 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OR 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OR 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931"/>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OR AMOUNT]</w:t>
            </w:r>
          </w:p>
        </w:tc>
      </w:tr>
    </w:tbl>
    <w:p>
      <w:pPr>
        <w:spacing w:after="140"/>
      </w:pPr>
    </w:p>
    <w:p>
      <w:pPr>
        <w:keepNext/>
        <w:spacing w:after="100" w:before="200"/>
        <w:outlineLvl w:val="1"/>
      </w:pPr>
      <w:r>
        <w:rPr>
          <w:rFonts w:ascii="Calibri" w:cs="Calibri" w:eastAsia="Calibri" w:hAnsi="Calibri"/>
          <w:b/>
          <w:bCs/>
          <w:color w:val="14161B"/>
          <w:sz w:val="21"/>
          <w:szCs w:val="21"/>
        </w:rPr>
        <w:t xml:space="preserve">4. Team and rate card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505"/>
        <w:gridCol w:w="1349"/>
        <w:gridCol w:w="1734"/>
        <w:gridCol w:w="193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Key Person</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Allocation</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Rate (₹)</w:t>
            </w:r>
          </w:p>
        </w:tc>
        <w:tc>
          <w:tcPr>
            <w:tcW w:type="dxa" w:w="193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 basis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 FTE]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 HOUR / DAY / MONTH]</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 FTE]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 HOUR / DAY / MONTH]</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 FTE]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 HOUR / DAY / MONTH]</w:t>
            </w:r>
          </w:p>
        </w:tc>
      </w:tr>
    </w:tbl>
    <w:p>
      <w:pPr>
        <w:spacing w:after="140"/>
      </w:pPr>
    </w:p>
    <w:p>
      <w:pPr>
        <w:keepNext/>
        <w:spacing w:after="100" w:before="200"/>
        <w:outlineLvl w:val="1"/>
      </w:pPr>
      <w:r>
        <w:rPr>
          <w:rFonts w:ascii="Calibri" w:cs="Calibri" w:eastAsia="Calibri" w:hAnsi="Calibri"/>
          <w:b/>
          <w:bCs/>
          <w:color w:val="14161B"/>
          <w:sz w:val="21"/>
          <w:szCs w:val="21"/>
        </w:rPr>
        <w:t xml:space="preserve">5. Charges and payment schedule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927"/>
        <w:gridCol w:w="2505"/>
        <w:gridCol w:w="1930"/>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 / period</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Invoice trigger</w:t>
            </w:r>
          </w:p>
        </w:tc>
        <w:tc>
          <w:tcPr>
            <w:tcW w:type="dxa" w:w="193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Payment due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ACCEPTANCE / MONTH END]</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from invoice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ACCEPTANCE / MONTH END]</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from invoice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2505"/>
            <w:tcMar>
              <w:top w:type="dxa" w:w="70"/>
              <w:left w:type="dxa" w:w="100"/>
              <w:bottom w:type="dxa" w:w="70"/>
              <w:right w:type="dxa" w:w="100"/>
            </w:tcMar>
            <w:vAlign w:val="center"/>
          </w:tcPr>
          <w:p>
            <w:pPr>
              <w:spacing w:after="0" w:line="240"/>
              <w:jc w:val="left"/>
            </w:pPr>
          </w:p>
        </w:tc>
        <w:tc>
          <w:tcPr>
            <w:tcW w:type="dxa" w:w="1930"/>
            <w:tcMar>
              <w:top w:type="dxa" w:w="70"/>
              <w:left w:type="dxa" w:w="100"/>
              <w:bottom w:type="dxa" w:w="70"/>
              <w:right w:type="dxa" w:w="100"/>
            </w:tcMar>
            <w:vAlign w:val="center"/>
          </w:tcPr>
          <w:p>
            <w:pPr>
              <w:spacing w:after="0" w:line="240"/>
              <w:jc w:val="left"/>
            </w:pPr>
          </w:p>
        </w:tc>
      </w:tr>
    </w:tbl>
    <w:p>
      <w:pPr>
        <w:spacing w:after="120"/>
      </w:pPr>
    </w:p>
    <w:p>
      <w:pPr>
        <w:spacing w:after="140" w:before="0" w:line="276"/>
        <w:jc w:val="both"/>
      </w:pPr>
      <w:r>
        <w:rPr>
          <w:rFonts w:ascii="Calibri" w:cs="Calibri" w:eastAsia="Calibri" w:hAnsi="Calibri"/>
          <w:color w:val="6E7480"/>
          <w:sz w:val="17"/>
          <w:szCs w:val="17"/>
        </w:rPr>
        <w:t xml:space="preserve">All amounts are exclusive of goods and services tax. Tax shall be deducted at source under Section 393 of the Income-tax Act, 2025 at the rate in force.</w:t>
      </w:r>
    </w:p>
    <w:p>
      <w:pPr>
        <w:keepNext/>
        <w:spacing w:after="100" w:before="200"/>
        <w:outlineLvl w:val="1"/>
      </w:pPr>
      <w:r>
        <w:rPr>
          <w:rFonts w:ascii="Calibri" w:cs="Calibri" w:eastAsia="Calibri" w:hAnsi="Calibri"/>
          <w:b/>
          <w:bCs/>
          <w:color w:val="14161B"/>
          <w:sz w:val="21"/>
          <w:szCs w:val="21"/>
        </w:rPr>
        <w:t xml:space="preserve">6. Client dependencies</w:t>
      </w:r>
    </w:p>
    <w:p>
      <w:pPr>
        <w:spacing w:after="80" w:before="0" w:line="276"/>
        <w:jc w:val="both"/>
      </w:pPr>
      <w:r>
        <w:rPr>
          <w:rFonts w:ascii="Calibri" w:cs="Calibri" w:eastAsia="Calibri" w:hAnsi="Calibri"/>
          <w:sz w:val="21"/>
          <w:szCs w:val="21"/>
        </w:rPr>
        <w:t xml:space="preserve">The following are Client dependencies for the purposes of Clause 3.4 of the Agreement. Failure to discharge them may entitle the Service Provider to relief in time or cost, to be agreed through change control:</w:t>
      </w:r>
    </w:p>
    <w:p>
      <w:pPr>
        <w:pStyle w:val="ListParagraph"/>
        <w:numPr>
          <w:ilvl w:val="0"/>
          <w:numId w:val="2"/>
        </w:numPr>
        <w:spacing w:after="80" w:before="20" w:line="276"/>
        <w:jc w:val="both"/>
      </w:pPr>
      <w:r>
        <w:rPr>
          <w:rFonts w:ascii="Calibri" w:cs="Calibri" w:eastAsia="Calibri" w:hAnsi="Calibri"/>
          <w:b/>
          <w:bCs/>
          <w:sz w:val="21"/>
          <w:szCs w:val="21"/>
        </w:rPr>
        <w:t xml:space="preserve">[DEPENDENCY — e.g. access to systems and environments by a stated date]</w:t>
      </w:r>
    </w:p>
    <w:p>
      <w:pPr>
        <w:pStyle w:val="ListParagraph"/>
        <w:numPr>
          <w:ilvl w:val="0"/>
          <w:numId w:val="2"/>
        </w:numPr>
        <w:spacing w:after="80" w:before="20" w:line="276"/>
        <w:jc w:val="both"/>
      </w:pPr>
      <w:r>
        <w:rPr>
          <w:rFonts w:ascii="Calibri" w:cs="Calibri" w:eastAsia="Calibri" w:hAnsi="Calibri"/>
          <w:b/>
          <w:bCs/>
          <w:sz w:val="21"/>
          <w:szCs w:val="21"/>
        </w:rPr>
        <w:t xml:space="preserve">[DEPENDENCY — e.g. nomination of a single point of contact with decision-making authority]</w:t>
      </w:r>
    </w:p>
    <w:p>
      <w:pPr>
        <w:pStyle w:val="ListParagraph"/>
        <w:numPr>
          <w:ilvl w:val="0"/>
          <w:numId w:val="2"/>
        </w:numPr>
        <w:spacing w:after="80" w:before="20" w:line="276"/>
        <w:jc w:val="both"/>
      </w:pPr>
      <w:r>
        <w:rPr>
          <w:rFonts w:ascii="Calibri" w:cs="Calibri" w:eastAsia="Calibri" w:hAnsi="Calibri"/>
          <w:b/>
          <w:bCs/>
          <w:sz w:val="21"/>
          <w:szCs w:val="21"/>
        </w:rPr>
        <w:t xml:space="preserve">[DEPENDENCY — e.g. provision of data, credentials or third-party licences]</w:t>
      </w:r>
    </w:p>
    <w:p>
      <w:pPr>
        <w:spacing w:after="140"/>
      </w:pPr>
    </w:p>
    <w:p>
      <w:pPr>
        <w:keepNext/>
        <w:spacing w:after="100" w:before="200"/>
        <w:outlineLvl w:val="1"/>
      </w:pPr>
      <w:r>
        <w:rPr>
          <w:rFonts w:ascii="Calibri" w:cs="Calibri" w:eastAsia="Calibri" w:hAnsi="Calibri"/>
          <w:b/>
          <w:bCs/>
          <w:color w:val="14161B"/>
          <w:sz w:val="21"/>
          <w:szCs w:val="21"/>
        </w:rPr>
        <w:t xml:space="preserve">7. Assumptions</w:t>
      </w:r>
    </w:p>
    <w:p>
      <w:pPr>
        <w:pStyle w:val="ListParagraph"/>
        <w:numPr>
          <w:ilvl w:val="0"/>
          <w:numId w:val="2"/>
        </w:numPr>
        <w:spacing w:after="80" w:before="20" w:line="276"/>
        <w:jc w:val="both"/>
      </w:pPr>
      <w:r>
        <w:rPr>
          <w:rFonts w:ascii="Calibri" w:cs="Calibri" w:eastAsia="Calibri" w:hAnsi="Calibri"/>
          <w:b/>
          <w:bCs/>
          <w:sz w:val="21"/>
          <w:szCs w:val="21"/>
        </w:rPr>
        <w:t xml:space="preserve">[ASSUMPTION]</w:t>
      </w:r>
    </w:p>
    <w:p>
      <w:pPr>
        <w:pStyle w:val="ListParagraph"/>
        <w:numPr>
          <w:ilvl w:val="0"/>
          <w:numId w:val="2"/>
        </w:numPr>
        <w:spacing w:after="80" w:before="20" w:line="276"/>
        <w:jc w:val="both"/>
      </w:pPr>
      <w:r>
        <w:rPr>
          <w:rFonts w:ascii="Calibri" w:cs="Calibri" w:eastAsia="Calibri" w:hAnsi="Calibri"/>
          <w:b/>
          <w:bCs/>
          <w:sz w:val="21"/>
          <w:szCs w:val="21"/>
        </w:rPr>
        <w:t xml:space="preserve">[ASSUMPTION]</w:t>
      </w:r>
    </w:p>
    <w:p>
      <w:pPr>
        <w:spacing w:after="140"/>
      </w:pPr>
    </w:p>
    <w:p>
      <w:pPr>
        <w:keepNext/>
        <w:spacing w:after="100" w:before="200"/>
        <w:outlineLvl w:val="1"/>
      </w:pPr>
      <w:r>
        <w:rPr>
          <w:rFonts w:ascii="Calibri" w:cs="Calibri" w:eastAsia="Calibri" w:hAnsi="Calibri"/>
          <w:b/>
          <w:bCs/>
          <w:color w:val="14161B"/>
          <w:sz w:val="21"/>
          <w:szCs w:val="21"/>
        </w:rPr>
        <w:t xml:space="preserve">8. Variations to the master agreement</w:t>
      </w:r>
    </w:p>
    <w:p>
      <w:pPr>
        <w:spacing w:after="200" w:before="0" w:line="276"/>
        <w:jc w:val="both"/>
      </w:pPr>
      <w:r>
        <w:rPr>
          <w:rFonts w:ascii="Calibri" w:cs="Calibri" w:eastAsia="Calibri" w:hAnsi="Calibri"/>
          <w:sz w:val="21"/>
          <w:szCs w:val="21"/>
        </w:rPr>
        <w:t xml:space="preserve">None, except: </w:t>
      </w:r>
      <w:r>
        <w:rPr>
          <w:rFonts w:ascii="Calibri" w:cs="Calibri" w:eastAsia="Calibri" w:hAnsi="Calibri"/>
          <w:b/>
          <w:bCs/>
          <w:sz w:val="21"/>
          <w:szCs w:val="21"/>
        </w:rPr>
        <w:t xml:space="preserve">[STATE CLAUSE NUMBER AND THE VARIED TERM, OR "None"]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[SERVICE PROVIDER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Service Levels and Service Credits</w:t>
      </w:r>
    </w:p>
    <w:p>
      <w:pPr>
        <w:spacing w:after="160" w:before="0" w:line="276"/>
        <w:jc w:val="both"/>
      </w:pPr>
      <w:r>
        <w:rPr>
          <w:rFonts w:ascii="Calibri" w:cs="Calibri" w:eastAsia="Calibri" w:hAnsi="Calibri"/>
          <w:sz w:val="21"/>
          <w:szCs w:val="21"/>
        </w:rPr>
        <w:t xml:space="preserve">The Service Levels below apply to each SOW that incorporates this Schedule. Performance is measured over each calendar month unless stated otherwise. Service credits are the Client’s sole financial remedy for a failure to meet a Service Level, without prejudice to the right to terminate under Clause 15.4.</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1954"/>
        <w:gridCol w:w="4060"/>
        <w:gridCol w:w="1804"/>
        <w:gridCol w:w="1804"/>
        <w:gridCol w:w="2706"/>
        <w:gridCol w:w="2109"/>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Service Level</w:t>
            </w:r>
          </w:p>
        </w:tc>
        <w:tc>
          <w:tcPr>
            <w:tcW w:type="dxa" w:w="4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Definition and measurement</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Target</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Measurement window</w:t>
            </w:r>
          </w:p>
        </w:tc>
        <w:tc>
          <w:tcPr>
            <w:tcW w:type="dxa" w:w="27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Service credit</w:t>
            </w:r>
          </w:p>
        </w:tc>
        <w:tc>
          <w:tcPr>
            <w:tcW w:type="dxa" w:w="21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Termination trigger</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Availability</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Percentage of the measurement window during which the service is available, excluding agreed maintenance windows notified </w:t>
            </w:r>
            <w:r>
              <w:rPr>
                <w:rFonts w:ascii="Calibri" w:cs="Calibri" w:eastAsia="Calibri" w:hAnsi="Calibri"/>
                <w:b/>
                <w:bCs/>
                <w:sz w:val="17"/>
                <w:szCs w:val="17"/>
              </w:rPr>
              <w:t xml:space="preserve">[NUMBER]</w:t>
            </w:r>
            <w:r>
              <w:rPr>
                <w:rFonts w:ascii="Calibri" w:cs="Calibri" w:eastAsia="Calibri" w:hAnsi="Calibri"/>
                <w:sz w:val="17"/>
                <w:szCs w:val="17"/>
              </w:rPr>
              <w:t xml:space="preserve"> days in advance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[99.5]</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Calendar month</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[X]</w:t>
            </w:r>
            <w:r>
              <w:rPr>
                <w:rFonts w:ascii="Calibri" w:cs="Calibri" w:eastAsia="Calibri" w:hAnsi="Calibri"/>
                <w:sz w:val="17"/>
                <w:szCs w:val="17"/>
              </w:rPr>
              <w:t xml:space="preserve">% of monthly Charges for each </w:t>
            </w:r>
            <w:r>
              <w:rPr>
                <w:rFonts w:ascii="Calibri" w:cs="Calibri" w:eastAsia="Calibri" w:hAnsi="Calibri"/>
                <w:b/>
                <w:bCs/>
                <w:sz w:val="17"/>
                <w:szCs w:val="17"/>
              </w:rPr>
              <w:t xml:space="preserve">[0.5]</w:t>
            </w:r>
            <w:r>
              <w:rPr>
                <w:rFonts w:ascii="Calibri" w:cs="Calibri" w:eastAsia="Calibri" w:hAnsi="Calibri"/>
                <w:sz w:val="17"/>
                <w:szCs w:val="17"/>
              </w:rPr>
              <w:t xml:space="preserve">% below target</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[Below target in 3 consecutive months]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Priority 1 response</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Time from the Client logging a P1 incident to acknowledgement by a named engineer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[30]</w:t>
            </w:r>
            <w:r>
              <w:rPr>
                <w:rFonts w:ascii="Calibri" w:cs="Calibri" w:eastAsia="Calibri" w:hAnsi="Calibri"/>
                <w:sz w:val="17"/>
                <w:szCs w:val="17"/>
              </w:rPr>
              <w:t xml:space="preserve"> minutes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24x7</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[X]</w:t>
            </w:r>
            <w:r>
              <w:rPr>
                <w:rFonts w:ascii="Calibri" w:cs="Calibri" w:eastAsia="Calibri" w:hAnsi="Calibri"/>
                <w:sz w:val="17"/>
                <w:szCs w:val="17"/>
              </w:rPr>
              <w:t xml:space="preserve">% of monthly Charges per breach</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[5 breaches in a quarter]</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Priority 1 resolution</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Time from logging to restoration of service, including workaround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[4]</w:t>
            </w:r>
            <w:r>
              <w:rPr>
                <w:rFonts w:ascii="Calibri" w:cs="Calibri" w:eastAsia="Calibri" w:hAnsi="Calibri"/>
                <w:sz w:val="17"/>
                <w:szCs w:val="17"/>
              </w:rPr>
              <w:t xml:space="preserve"> hours for </w:t>
            </w:r>
            <w:r>
              <w:rPr>
                <w:rFonts w:ascii="Calibri" w:cs="Calibri" w:eastAsia="Calibri" w:hAnsi="Calibri"/>
                <w:b/>
                <w:bCs/>
                <w:sz w:val="17"/>
                <w:szCs w:val="17"/>
              </w:rPr>
              <w:t xml:space="preserve">[95]</w:t>
            </w:r>
            <w:r>
              <w:rPr>
                <w:rFonts w:ascii="Calibri" w:cs="Calibri" w:eastAsia="Calibri" w:hAnsi="Calibri"/>
                <w:sz w:val="17"/>
                <w:szCs w:val="17"/>
              </w:rPr>
              <w:t xml:space="preserve">% of incidents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Calendar month</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[X]</w:t>
            </w:r>
            <w:r>
              <w:rPr>
                <w:rFonts w:ascii="Calibri" w:cs="Calibri" w:eastAsia="Calibri" w:hAnsi="Calibri"/>
                <w:sz w:val="17"/>
                <w:szCs w:val="17"/>
              </w:rPr>
              <w:t xml:space="preserve">% of monthly Charges per breach</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 breaches in a quarter]</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Priority 2 resolution</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Time from logging to resolution of a P2 incident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[1]</w:t>
            </w:r>
            <w:r>
              <w:rPr>
                <w:rFonts w:ascii="Calibri" w:cs="Calibri" w:eastAsia="Calibri" w:hAnsi="Calibri"/>
                <w:sz w:val="17"/>
                <w:szCs w:val="17"/>
              </w:rPr>
              <w:t xml:space="preserve"> Business Day for </w:t>
            </w:r>
            <w:r>
              <w:rPr>
                <w:rFonts w:ascii="Calibri" w:cs="Calibri" w:eastAsia="Calibri" w:hAnsi="Calibri"/>
                <w:b/>
                <w:bCs/>
                <w:sz w:val="17"/>
                <w:szCs w:val="17"/>
              </w:rPr>
              <w:t xml:space="preserve">[90]</w:t>
            </w:r>
            <w:r>
              <w:rPr>
                <w:rFonts w:ascii="Calibri" w:cs="Calibri" w:eastAsia="Calibri" w:hAnsi="Calibri"/>
                <w:sz w:val="17"/>
                <w:szCs w:val="17"/>
              </w:rPr>
              <w:t xml:space="preserve">% of incidents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Calendar month</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[X]</w:t>
            </w:r>
            <w:r>
              <w:rPr>
                <w:rFonts w:ascii="Calibri" w:cs="Calibri" w:eastAsia="Calibri" w:hAnsi="Calibri"/>
                <w:sz w:val="17"/>
                <w:szCs w:val="17"/>
              </w:rPr>
              <w:t xml:space="preserve">% of monthly Charges</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Milestone adherence</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Percentage of Milestone Dates met without an approved change order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[95]</w:t>
            </w: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Per SOW</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[X]</w:t>
            </w:r>
            <w:r>
              <w:rPr>
                <w:rFonts w:ascii="Calibri" w:cs="Calibri" w:eastAsia="Calibri" w:hAnsi="Calibri"/>
                <w:sz w:val="17"/>
                <w:szCs w:val="17"/>
              </w:rPr>
              <w:t xml:space="preserve">% of the milestone value per week of delay, capped at </w:t>
            </w:r>
            <w:r>
              <w:rPr>
                <w:rFonts w:ascii="Calibri" w:cs="Calibri" w:eastAsia="Calibri" w:hAnsi="Calibri"/>
                <w:b/>
                <w:bCs/>
                <w:sz w:val="17"/>
                <w:szCs w:val="17"/>
              </w:rPr>
              <w:t xml:space="preserve">[Y]</w:t>
            </w:r>
            <w:r>
              <w:rPr>
                <w:rFonts w:ascii="Calibri" w:cs="Calibri" w:eastAsia="Calibri" w:hAnsi="Calibri"/>
                <w:sz w:val="17"/>
                <w:szCs w:val="17"/>
              </w:rPr>
              <w:t xml:space="preserv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[Two consecutive missed milestones]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Defect density</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Number of severity-1 and severity-2 defects found after Acceptance per </w:t>
            </w:r>
            <w:r>
              <w:rPr>
                <w:rFonts w:ascii="Calibri" w:cs="Calibri" w:eastAsia="Calibri" w:hAnsi="Calibri"/>
                <w:b/>
                <w:bCs/>
                <w:sz w:val="17"/>
                <w:szCs w:val="17"/>
              </w:rPr>
              <w:t xml:space="preserve">[unit]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[TARGET]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Per release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[X]</w:t>
            </w:r>
            <w:r>
              <w:rPr>
                <w:rFonts w:ascii="Calibri" w:cs="Calibri" w:eastAsia="Calibri" w:hAnsi="Calibri"/>
                <w:sz w:val="17"/>
                <w:szCs w:val="17"/>
              </w:rPr>
              <w:t xml:space="preserve">% of the release value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Key Person continuity</w:t>
            </w:r>
          </w:p>
        </w:tc>
        <w:tc>
          <w:tcPr>
            <w:tcW w:type="dxa" w:w="406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Unapproved replacement of a Key Person</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Nil</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Per SOW</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r>
              <w:rPr>
                <w:rFonts w:ascii="Calibri" w:cs="Calibri" w:eastAsia="Calibri" w:hAnsi="Calibri"/>
                <w:sz w:val="17"/>
                <w:szCs w:val="17"/>
              </w:rPr>
              <w:t xml:space="preserve"> per occurrence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[Two occurrences]</w:t>
            </w:r>
          </w:p>
        </w:tc>
      </w:tr>
    </w:tbl>
    <w:p>
      <w:pPr>
        <w:spacing w:after="160"/>
      </w:pPr>
    </w:p>
    <w:p>
      <w:pPr>
        <w:spacing w:after="120" w:before="0" w:line="276"/>
        <w:jc w:val="both"/>
      </w:pPr>
      <w:r>
        <w:rPr>
          <w:rFonts w:ascii="Calibri" w:cs="Calibri" w:eastAsia="Calibri" w:hAnsi="Calibri"/>
          <w:b/>
          <w:bCs/>
          <w:sz w:val="21"/>
          <w:szCs w:val="21"/>
        </w:rPr>
        <w:t xml:space="preserve">Notes.</w:t>
      </w:r>
      <w:r>
        <w:rPr>
          <w:rFonts w:ascii="Calibri" w:cs="Calibri" w:eastAsia="Calibri" w:hAnsi="Calibri"/>
          <w:sz w:val="21"/>
          <w:szCs w:val="21"/>
        </w:rPr>
        <w:t xml:space="preserve"> (1) Total service credits in any month shall not exceed </w:t>
      </w:r>
      <w:r>
        <w:rPr>
          <w:rFonts w:ascii="Calibri" w:cs="Calibri" w:eastAsia="Calibri" w:hAnsi="Calibri"/>
          <w:b/>
          <w:bCs/>
          <w:sz w:val="21"/>
          <w:szCs w:val="21"/>
        </w:rPr>
        <w:t xml:space="preserve">[CAP — e.g. fifteen (15)]</w:t>
      </w:r>
      <w:r>
        <w:rPr>
          <w:rFonts w:ascii="Calibri" w:cs="Calibri" w:eastAsia="Calibri" w:hAnsi="Calibri"/>
          <w:sz w:val="21"/>
          <w:szCs w:val="21"/>
        </w:rPr>
        <w:t xml:space="preserve"> per cent of the Charges for that month. </w:t>
      </w:r>
      <w:r>
        <w:rPr>
          <w:rFonts w:ascii="Calibri" w:cs="Calibri" w:eastAsia="Calibri" w:hAnsi="Calibri"/>
          <w:i/>
          <w:iCs/>
          <w:color w:val="6E7480"/>
          <w:sz w:val="21"/>
          <w:szCs w:val="21"/>
        </w:rPr>
        <w:t xml:space="preserve">The cap is a commercial decision — specify.</w:t>
      </w:r>
      <w:r>
        <w:rPr>
          <w:rFonts w:ascii="Calibri" w:cs="Calibri" w:eastAsia="Calibri" w:hAnsi="Calibri"/>
          <w:sz w:val="21"/>
          <w:szCs w:val="21"/>
        </w:rPr>
        <w:t xml:space="preserve"> (2) Service credits are applied as a deduction against the next invoice. (3) The Service Provider shall provide a monthly service report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of month end, showing performance against each Service Level, root-cause analysis for each failure and the corrective action taken. (4) Failures caused by an event of force majeure, or by a Client dependency not discharged, are excluded from measurement.</w:t>
      </w:r>
    </w:p>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Standard Rate Card and Charging Principles</w:t>
      </w:r>
    </w:p>
    <w:p>
      <w:pPr>
        <w:spacing w:after="140" w:before="0" w:line="276"/>
        <w:jc w:val="both"/>
      </w:pPr>
      <w:r>
        <w:rPr>
          <w:rFonts w:ascii="Calibri" w:cs="Calibri" w:eastAsia="Calibri" w:hAnsi="Calibri"/>
          <w:sz w:val="21"/>
          <w:szCs w:val="21"/>
        </w:rPr>
        <w:t xml:space="preserve">This rate card applies where a SOW does not specify rates, and to change orders and transition assistance under Clause 16.2.</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734"/>
        <w:gridCol w:w="1927"/>
        <w:gridCol w:w="1927"/>
        <w:gridCol w:w="1545"/>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 / grade</w:t>
            </w:r>
          </w:p>
        </w:tc>
        <w:tc>
          <w:tcPr>
            <w:tcW w:type="dxa" w:w="173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Experience band</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Onsite rate (₹/day)</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Offshore rate (₹/day)</w:t>
            </w:r>
          </w:p>
        </w:tc>
        <w:tc>
          <w:tcPr>
            <w:tcW w:type="dxa" w:w="154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Overtime multiplier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[YEARS]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[1.5x]</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[YEARS]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[1.5x]</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[YEARS]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[1.5x]</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73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[YEARS]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5"/>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[1.5x]</w:t>
            </w:r>
          </w:p>
        </w:tc>
      </w:tr>
    </w:tbl>
    <w:p>
      <w:pPr>
        <w:spacing w:after="140"/>
      </w:pPr>
    </w:p>
    <w:p>
      <w:pPr>
        <w:keepNext/>
        <w:spacing w:after="100" w:before="200"/>
        <w:outlineLvl w:val="1"/>
      </w:pPr>
      <w:r>
        <w:rPr>
          <w:rFonts w:ascii="Calibri" w:cs="Calibri" w:eastAsia="Calibri" w:hAnsi="Calibri"/>
          <w:b/>
          <w:bCs/>
          <w:color w:val="14161B"/>
          <w:sz w:val="21"/>
          <w:szCs w:val="21"/>
        </w:rPr>
        <w:t xml:space="preserve">Charging principles</w:t>
      </w:r>
    </w:p>
    <w:p>
      <w:pPr>
        <w:pStyle w:val="ListParagraph"/>
        <w:numPr>
          <w:ilvl w:val="0"/>
          <w:numId w:val="2"/>
        </w:numPr>
        <w:spacing w:after="80" w:before="20" w:line="276"/>
        <w:jc w:val="both"/>
      </w:pPr>
      <w:r>
        <w:rPr>
          <w:rFonts w:ascii="Calibri" w:cs="Calibri" w:eastAsia="Calibri" w:hAnsi="Calibri"/>
          <w:sz w:val="21"/>
          <w:szCs w:val="21"/>
        </w:rPr>
        <w:t xml:space="preserve">A working day is </w:t>
      </w:r>
      <w:r>
        <w:rPr>
          <w:rFonts w:ascii="Calibri" w:cs="Calibri" w:eastAsia="Calibri" w:hAnsi="Calibri"/>
          <w:b/>
          <w:bCs/>
          <w:sz w:val="21"/>
          <w:szCs w:val="21"/>
        </w:rPr>
        <w:t xml:space="preserve">[NUMBER]</w:t>
      </w:r>
      <w:r>
        <w:rPr>
          <w:rFonts w:ascii="Calibri" w:cs="Calibri" w:eastAsia="Calibri" w:hAnsi="Calibri"/>
          <w:sz w:val="21"/>
          <w:szCs w:val="21"/>
        </w:rPr>
        <w:t xml:space="preserve"> hours. Part days are charged pro rata in units of </w:t>
      </w:r>
      <w:r>
        <w:rPr>
          <w:rFonts w:ascii="Calibri" w:cs="Calibri" w:eastAsia="Calibri" w:hAnsi="Calibri"/>
          <w:b/>
          <w:bCs/>
          <w:sz w:val="21"/>
          <w:szCs w:val="21"/>
        </w:rPr>
        <w:t xml:space="preserve">[NUMBER]</w:t>
      </w:r>
      <w:r>
        <w:rPr>
          <w:rFonts w:ascii="Calibri" w:cs="Calibri" w:eastAsia="Calibri" w:hAnsi="Calibri"/>
          <w:sz w:val="21"/>
          <w:szCs w:val="21"/>
        </w:rPr>
        <w:t xml:space="preserve"> hours.</w:t>
      </w:r>
    </w:p>
    <w:p>
      <w:pPr>
        <w:pStyle w:val="ListParagraph"/>
        <w:numPr>
          <w:ilvl w:val="0"/>
          <w:numId w:val="2"/>
        </w:numPr>
        <w:spacing w:after="80" w:before="20" w:line="276"/>
        <w:jc w:val="both"/>
      </w:pPr>
      <w:r>
        <w:rPr>
          <w:rFonts w:ascii="Calibri" w:cs="Calibri" w:eastAsia="Calibri" w:hAnsi="Calibri"/>
          <w:sz w:val="21"/>
          <w:szCs w:val="21"/>
        </w:rPr>
        <w:t xml:space="preserve">Rates are firm for </w:t>
      </w:r>
      <w:r>
        <w:rPr>
          <w:rFonts w:ascii="Calibri" w:cs="Calibri" w:eastAsia="Calibri" w:hAnsi="Calibri"/>
          <w:b/>
          <w:bCs/>
          <w:sz w:val="21"/>
          <w:szCs w:val="21"/>
        </w:rPr>
        <w:t xml:space="preserve">[PERIOD]</w:t>
      </w:r>
      <w:r>
        <w:rPr>
          <w:rFonts w:ascii="Calibri" w:cs="Calibri" w:eastAsia="Calibri" w:hAnsi="Calibri"/>
          <w:sz w:val="21"/>
          <w:szCs w:val="21"/>
        </w:rPr>
        <w:t xml:space="preserve"> from the Effective Date and thereafter may be revised once in any twelve-month period on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by not more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w:t>
      </w:r>
      <w:r>
        <w:rPr>
          <w:rFonts w:ascii="Calibri" w:cs="Calibri" w:eastAsia="Calibri" w:hAnsi="Calibri"/>
          <w:i/>
          <w:iCs/>
          <w:color w:val="6E7480"/>
          <w:sz w:val="21"/>
          <w:szCs w:val="21"/>
        </w:rPr>
        <w:t xml:space="preserve">Escalation is a commercial decision — specify.</w:t>
      </w:r>
    </w:p>
    <w:p>
      <w:pPr>
        <w:pStyle w:val="ListParagraph"/>
        <w:numPr>
          <w:ilvl w:val="0"/>
          <w:numId w:val="2"/>
        </w:numPr>
        <w:spacing w:after="80" w:before="20" w:line="276"/>
        <w:jc w:val="both"/>
      </w:pPr>
      <w:r>
        <w:rPr>
          <w:rFonts w:ascii="Calibri" w:cs="Calibri" w:eastAsia="Calibri" w:hAnsi="Calibri"/>
          <w:sz w:val="21"/>
          <w:szCs w:val="21"/>
        </w:rPr>
        <w:t xml:space="preserve">Travel time is not chargeable. Travel and accommodation expenses are reimbursed at cost, pre-approved in writing, within the Client’s travel policy.</w:t>
      </w:r>
    </w:p>
    <w:p>
      <w:pPr>
        <w:pStyle w:val="ListParagraph"/>
        <w:numPr>
          <w:ilvl w:val="0"/>
          <w:numId w:val="2"/>
        </w:numPr>
        <w:spacing w:after="80" w:before="20" w:line="276"/>
        <w:jc w:val="both"/>
      </w:pPr>
      <w:r>
        <w:rPr>
          <w:rFonts w:ascii="Calibri" w:cs="Calibri" w:eastAsia="Calibri" w:hAnsi="Calibri"/>
          <w:sz w:val="21"/>
          <w:szCs w:val="21"/>
        </w:rPr>
        <w:t xml:space="preserve">Rates are exclusive of goods and services tax and inclusive of all statutory dues payable in respect of Personnel.</w:t>
      </w:r>
    </w:p>
    <w:p>
      <w:pPr>
        <w:pStyle w:val="ListParagraph"/>
        <w:numPr>
          <w:ilvl w:val="0"/>
          <w:numId w:val="2"/>
        </w:numPr>
        <w:spacing w:after="80" w:before="20" w:line="276"/>
        <w:jc w:val="both"/>
      </w:pPr>
      <w:r>
        <w:rPr>
          <w:rFonts w:ascii="Calibri" w:cs="Calibri" w:eastAsia="Calibri" w:hAnsi="Calibri"/>
          <w:sz w:val="21"/>
          <w:szCs w:val="21"/>
        </w:rPr>
        <w:t xml:space="preserve">Where a time-and-materials SOW states a not-to-exceed value, the Service Provider shall notify the Client on reaching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that value and shall not exceed it without a signed change order.</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Why the two-tier structure</w:t>
      </w:r>
    </w:p>
    <w:p>
      <w:pPr>
        <w:spacing w:after="60" w:line="264"/>
        <w:jc w:val="both"/>
      </w:pPr>
      <w:r>
        <w:rPr>
          <w:rFonts w:ascii="Calibri" w:cs="Calibri" w:eastAsia="Calibri" w:hAnsi="Calibri"/>
          <w:sz w:val="19"/>
          <w:szCs w:val="19"/>
        </w:rPr>
        <w:t xml:space="preserve">A master agreement plus SOWs lets you negotiate the hard legal terms once and then order work quickly. The value of the structure is destroyed if SOWs quietly re-negotiate the master terms, which is why Clause 2.2 requires a variation to identify the clause it varies by number. Reject SOWs that contain free-floating legal language.</w:t>
      </w:r>
    </w:p>
    <w:p>
      <w:pPr>
        <w:keepNext/>
        <w:spacing w:after="40" w:before="140"/>
      </w:pPr>
      <w:r>
        <w:rPr>
          <w:rFonts w:ascii="Calibri" w:cs="Calibri" w:eastAsia="Calibri" w:hAnsi="Calibri"/>
          <w:b/>
          <w:bCs/>
          <w:color w:val="14161B"/>
          <w:sz w:val="20"/>
          <w:szCs w:val="20"/>
        </w:rPr>
        <w:t xml:space="preserve">Order of precedence</w:t>
      </w:r>
    </w:p>
    <w:p>
      <w:pPr>
        <w:spacing w:after="60" w:line="264"/>
        <w:jc w:val="both"/>
      </w:pPr>
      <w:r>
        <w:rPr>
          <w:rFonts w:ascii="Calibri" w:cs="Calibri" w:eastAsia="Calibri" w:hAnsi="Calibri"/>
          <w:sz w:val="19"/>
          <w:szCs w:val="19"/>
        </w:rPr>
        <w:t xml:space="preserve">This template puts the master agreement above the SOW. That is the client-favourable position and is the market norm for the client side. Suppliers often push for the SOW to prevail. If you concede that, tighten Clause 2.2 so that only commercial terms (scope, price, dates) can prevail, never liability, IP, indemnity or data protection.</w:t>
      </w:r>
    </w:p>
    <w:p>
      <w:pPr>
        <w:keepNext/>
        <w:spacing w:after="40" w:before="140"/>
      </w:pPr>
      <w:r>
        <w:rPr>
          <w:rFonts w:ascii="Calibri" w:cs="Calibri" w:eastAsia="Calibri" w:hAnsi="Calibri"/>
          <w:b/>
          <w:bCs/>
          <w:color w:val="14161B"/>
          <w:sz w:val="20"/>
          <w:szCs w:val="20"/>
        </w:rPr>
        <w:t xml:space="preserve">IP vesting on payment</w:t>
      </w:r>
    </w:p>
    <w:p>
      <w:pPr>
        <w:spacing w:after="60" w:line="264"/>
        <w:jc w:val="both"/>
      </w:pPr>
      <w:r>
        <w:rPr>
          <w:rFonts w:ascii="Calibri" w:cs="Calibri" w:eastAsia="Calibri" w:hAnsi="Calibri"/>
          <w:sz w:val="19"/>
          <w:szCs w:val="19"/>
        </w:rPr>
        <w:t xml:space="preserve">Clause 8.4 makes the assignment conditional on payment. Service providers ask for this and it is reasonable. Clients should ensure the licence in Clause 8.4 is wide enough to permit acceptance testing, and should track payment carefully — an unpaid final invoice can leave ownership of a key deliverable unresolved.</w:t>
      </w:r>
    </w:p>
    <w:p>
      <w:pPr>
        <w:keepNext/>
        <w:spacing w:after="40" w:before="140"/>
      </w:pPr>
      <w:r>
        <w:rPr>
          <w:rFonts w:ascii="Calibri" w:cs="Calibri" w:eastAsia="Calibri" w:hAnsi="Calibri"/>
          <w:b/>
          <w:bCs/>
          <w:color w:val="14161B"/>
          <w:sz w:val="20"/>
          <w:szCs w:val="20"/>
        </w:rPr>
        <w:t xml:space="preserve">Open source</w:t>
      </w:r>
    </w:p>
    <w:p>
      <w:pPr>
        <w:spacing w:after="60" w:line="264"/>
        <w:jc w:val="both"/>
      </w:pPr>
      <w:r>
        <w:rPr>
          <w:rFonts w:ascii="Calibri" w:cs="Calibri" w:eastAsia="Calibri" w:hAnsi="Calibri"/>
          <w:sz w:val="19"/>
          <w:szCs w:val="19"/>
        </w:rPr>
        <w:t xml:space="preserve">Clause 8.6 is the clause most often deleted and most often regretted. A copyleft component embedded in a deliverable can, depending on the licence and how the component is used, create obligations that conflict with the client’s commercial plans. Insist on the bill of materials.</w:t>
      </w:r>
    </w:p>
    <w:p>
      <w:pPr>
        <w:keepNext/>
        <w:spacing w:after="40" w:before="140"/>
      </w:pPr>
      <w:r>
        <w:rPr>
          <w:rFonts w:ascii="Calibri" w:cs="Calibri" w:eastAsia="Calibri" w:hAnsi="Calibri"/>
          <w:b/>
          <w:bCs/>
          <w:color w:val="14161B"/>
          <w:sz w:val="20"/>
          <w:szCs w:val="20"/>
        </w:rPr>
        <w:t xml:space="preserve">MSME payment timelines</w:t>
      </w:r>
    </w:p>
    <w:p>
      <w:pPr>
        <w:spacing w:after="60" w:line="264"/>
        <w:jc w:val="both"/>
      </w:pPr>
      <w:r>
        <w:rPr>
          <w:rFonts w:ascii="Calibri" w:cs="Calibri" w:eastAsia="Calibri" w:hAnsi="Calibri"/>
          <w:sz w:val="19"/>
          <w:szCs w:val="19"/>
        </w:rPr>
        <w:t xml:space="preserve">If your supplier is a registered micro or small enterprise, the payment period is not freely negotiable — Section 15 of the MSMED Act, 2006 caps it, and Section 16 imposes compound interest at three times the RBI bank rate on delayed payments. There are also income-tax consequences for the buyer where payment is delayed beyond the statutory period. Confirm the position with your chartered accountant.</w:t>
      </w:r>
    </w:p>
    <w:p>
      <w:pPr>
        <w:keepNext/>
        <w:spacing w:after="40" w:before="140"/>
      </w:pPr>
      <w:r>
        <w:rPr>
          <w:rFonts w:ascii="Calibri" w:cs="Calibri" w:eastAsia="Calibri" w:hAnsi="Calibri"/>
          <w:b/>
          <w:bCs/>
          <w:color w:val="14161B"/>
          <w:sz w:val="20"/>
          <w:szCs w:val="20"/>
        </w:rPr>
        <w:t xml:space="preserve">TDS and GST</w:t>
      </w:r>
    </w:p>
    <w:p>
      <w:pPr>
        <w:spacing w:after="60" w:line="264"/>
        <w:jc w:val="both"/>
      </w:pPr>
      <w:r>
        <w:rPr>
          <w:rFonts w:ascii="Calibri" w:cs="Calibri" w:eastAsia="Calibri" w:hAnsi="Calibri"/>
          <w:sz w:val="19"/>
          <w:szCs w:val="19"/>
        </w:rPr>
        <w:t xml:space="preserve">From 1 April 2026 the deduction provisions sit in Section 393 of the Income-tax Act, 2025; the old 194-series section numbers should no longer be quoted on challans or returns. Clause 7.5 (the input tax credit clause) is the practical protection against a supplier who invoices GST but does not report or pay it — keep it.</w:t>
      </w:r>
    </w:p>
    <w:p>
      <w:pPr>
        <w:keepNext/>
        <w:spacing w:after="40" w:before="140"/>
      </w:pPr>
      <w:r>
        <w:rPr>
          <w:rFonts w:ascii="Calibri" w:cs="Calibri" w:eastAsia="Calibri" w:hAnsi="Calibri"/>
          <w:b/>
          <w:bCs/>
          <w:color w:val="14161B"/>
          <w:sz w:val="20"/>
          <w:szCs w:val="20"/>
        </w:rPr>
        <w:t xml:space="preserve">Service levels</w:t>
      </w:r>
    </w:p>
    <w:p>
      <w:pPr>
        <w:spacing w:after="60" w:line="264"/>
        <w:jc w:val="both"/>
      </w:pPr>
      <w:r>
        <w:rPr>
          <w:rFonts w:ascii="Calibri" w:cs="Calibri" w:eastAsia="Calibri" w:hAnsi="Calibri"/>
          <w:sz w:val="19"/>
          <w:szCs w:val="19"/>
        </w:rPr>
        <w:t xml:space="preserve">Schedule 2 is set out in landscape so the seven columns remain readable. Delete the rows that do not apply rather than leaving them blank; unpopulated service levels are a common source of dispute. Decide early whether service credits are the sole remedy — as drafted they are, which favours the supplier, but the termination triggers in the final column preserve the client’s real leverage.</w:t>
      </w:r>
    </w:p>
    <w:p>
      <w:pPr>
        <w:keepNext/>
        <w:spacing w:after="40" w:before="140"/>
      </w:pPr>
      <w:r>
        <w:rPr>
          <w:rFonts w:ascii="Calibri" w:cs="Calibri" w:eastAsia="Calibri" w:hAnsi="Calibri"/>
          <w:b/>
          <w:bCs/>
          <w:color w:val="14161B"/>
          <w:sz w:val="20"/>
          <w:szCs w:val="20"/>
        </w:rPr>
        <w:t xml:space="preserve">Liability cap</w:t>
      </w:r>
    </w:p>
    <w:p>
      <w:pPr>
        <w:spacing w:after="60" w:line="264"/>
        <w:jc w:val="both"/>
      </w:pPr>
      <w:r>
        <w:rPr>
          <w:rFonts w:ascii="Calibri" w:cs="Calibri" w:eastAsia="Calibri" w:hAnsi="Calibri"/>
          <w:sz w:val="19"/>
          <w:szCs w:val="19"/>
        </w:rPr>
        <w:t xml:space="preserve">Clause 13.3 leaves the cap open because it is genuinely a commercial decision. A cap equal to twelve months’ charges is common in the Indian mid-market; higher multiples or a separate super-cap for data breaches are usual where the supplier processes large volumes of personal data. Make sure the carve-outs in Clause 13.4 survive negotiation intact.</w:t>
      </w:r>
    </w:p>
    <w:p>
      <w:pPr>
        <w:keepNext/>
        <w:spacing w:after="40" w:before="140"/>
      </w:pPr>
      <w:r>
        <w:rPr>
          <w:rFonts w:ascii="Calibri" w:cs="Calibri" w:eastAsia="Calibri" w:hAnsi="Calibri"/>
          <w:b/>
          <w:bCs/>
          <w:color w:val="14161B"/>
          <w:sz w:val="20"/>
          <w:szCs w:val="20"/>
        </w:rPr>
        <w:t xml:space="preserve">Data protection</w:t>
      </w:r>
    </w:p>
    <w:p>
      <w:pPr>
        <w:spacing w:after="60" w:line="264"/>
        <w:jc w:val="both"/>
      </w:pPr>
      <w:r>
        <w:rPr>
          <w:rFonts w:ascii="Calibri" w:cs="Calibri" w:eastAsia="Calibri" w:hAnsi="Calibri"/>
          <w:sz w:val="19"/>
          <w:szCs w:val="19"/>
        </w:rPr>
        <w:t xml:space="preserve">Clause 10 is an interface only. Execute the separate Data Processing Agreement before any personal data is shared. The substantive DPDP obligations become enforceable on 13 May 2027, but contracts signed today will be in force by then.</w:t>
      </w:r>
    </w:p>
    <w:p>
      <w:pPr>
        <w:keepNext/>
        <w:spacing w:after="40" w:before="140"/>
      </w:pPr>
      <w:r>
        <w:rPr>
          <w:rFonts w:ascii="Calibri" w:cs="Calibri" w:eastAsia="Calibri" w:hAnsi="Calibri"/>
          <w:b/>
          <w:bCs/>
          <w:color w:val="14161B"/>
          <w:sz w:val="20"/>
          <w:szCs w:val="20"/>
        </w:rPr>
        <w:t xml:space="preserve">Stamp duty and execution</w:t>
      </w:r>
    </w:p>
    <w:p>
      <w:pPr>
        <w:spacing w:after="60" w:line="264"/>
        <w:jc w:val="both"/>
      </w:pPr>
      <w:r>
        <w:rPr>
          <w:rFonts w:ascii="Calibri" w:cs="Calibri" w:eastAsia="Calibri" w:hAnsi="Calibri"/>
          <w:sz w:val="19"/>
          <w:szCs w:val="19"/>
        </w:rPr>
        <w:t xml:space="preserve">A services agreement is generally stamped as an agreement; the rate is State-specific and some States levy ad valorem duty on agreements involving consideration. Confirm the correct article and, if the value is significant, take advice before executing. Retain the board resolution or power of attorney authorising each signatory.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Verify before relying on it.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2026-08-21T12:53:52.490Z</dcterms:created>
  <dcterms:modified xsi:type="dcterms:W3CDTF">2026-08-21T12:53:52.490Z</dcterms:modified>
</cp:coreProperties>
</file>

<file path=docProps/custom.xml><?xml version="1.0" encoding="utf-8"?>
<Properties xmlns="http://schemas.openxmlformats.org/officeDocument/2006/custom-properties" xmlns:vt="http://schemas.openxmlformats.org/officeDocument/2006/docPropsVTypes"/>
</file>