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MEMORANDUM AND ARTICLES OF ASSOCIATION</w:t>
      </w:r>
    </w:p>
    <w:p>
      <w:pPr>
        <w:spacing w:after="260"/>
        <w:jc w:val="center"/>
      </w:pPr>
      <w:r>
        <w:rPr>
          <w:rFonts w:ascii="Calibri" w:cs="Calibri" w:eastAsia="Calibri" w:hAnsi="Calibri"/>
          <w:i/>
          <w:iCs/>
          <w:color w:val="6E7480"/>
          <w:sz w:val="19"/>
          <w:szCs w:val="19"/>
        </w:rPr>
        <w:t xml:space="preserve">Drafting notes and decision checklist</w:t>
      </w:r>
    </w:p>
    <w:p>
      <w:pPr>
        <w:spacing w:after="180" w:before="0" w:line="276"/>
        <w:jc w:val="both"/>
      </w:pPr>
      <w:r>
        <w:rPr>
          <w:rFonts w:ascii="Calibri" w:cs="Calibri" w:eastAsia="Calibri" w:hAnsi="Calibri"/>
          <w:i/>
          <w:iCs/>
          <w:color w:val="6E7480"/>
          <w:sz w:val="21"/>
          <w:szCs w:val="21"/>
        </w:rPr>
        <w:t xml:space="preserve">This is a guide, not a form. The memorandum and articles are filed at incorporation and are difficult and slow to change afterwards, and almost every early-stage company discovers at its first fundraise that its articles were adopted without being read. Work through the decisions below before incorporation — they cost nothing then and a great deal later.</w:t>
      </w:r>
    </w:p>
    <w:p>
      <w:pPr>
        <w:keepNext/>
        <w:spacing w:after="120" w:before="280"/>
        <w:outlineLvl w:val="0"/>
      </w:pPr>
      <w:r>
        <w:rPr>
          <w:rFonts w:ascii="Calibri" w:cs="Calibri" w:eastAsia="Calibri" w:hAnsi="Calibri"/>
          <w:b/>
          <w:bCs/>
          <w:color w:val="14161B"/>
          <w:sz w:val="22"/>
          <w:szCs w:val="22"/>
        </w:rPr>
        <w:t xml:space="preserve">1. WHAT EACH DOCUMENT DOES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4047"/>
        <w:gridCol w:w="4049"/>
      </w:tblGrid>
      <w:tr>
        <w:trPr>
          <w:tblHeader/>
        </w:trPr>
        <w:tc>
          <w:tcPr>
            <w:tcW w:type="dxa" w:w="1542"/>
            <w:shd w:fill="EEF1FE" w:color="auto" w:val="clear"/>
            <w:tcMar>
              <w:top w:type="dxa" w:w="70"/>
              <w:left w:type="dxa" w:w="100"/>
              <w:bottom w:type="dxa" w:w="70"/>
              <w:right w:type="dxa" w:w="100"/>
            </w:tcMar>
            <w:vAlign w:val="center"/>
          </w:tcPr>
          <w:p>
            <w:pPr>
              <w:spacing w:after="0" w:line="240"/>
              <w:jc w:val="left"/>
            </w:pP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Memorandum of Association</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Articles of Association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Function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company’s charter — defines what it is and what it may do, and its relationship with the outside world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internal rulebook — how the company is governed, how shares move, how decisions are taken</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Contents fixed by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Companies Act, 2013, which prescribes the clauses that must appear</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company, within the limits of the Act; model forms are available in the Schedule to the Act</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Binds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company and its members, and is notice to the world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company and its members as a contract among them</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it conflicts with the Act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Act prevails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Act prevails</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they conflict with each other</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memorandum prevails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Subordinate to the memorandum</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How to change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 and, for some clauses, approval of a regulator or tribunal, with filing</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 with filing; entrenched provisions need more</w:t>
            </w:r>
          </w:p>
        </w:tc>
      </w:tr>
      <w:t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investors look</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Objects and capital clauses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Everything — this is where the investor terms must be written</w:t>
            </w:r>
          </w:p>
        </w:tc>
      </w:tr>
    </w:tbl>
    <w:p>
      <w:pPr>
        <w:spacing w:after="160"/>
      </w:pPr>
    </w:p>
    <w:p>
      <w:pPr>
        <w:keepNext/>
        <w:spacing w:after="120" w:before="280"/>
        <w:outlineLvl w:val="0"/>
      </w:pPr>
      <w:r>
        <w:rPr>
          <w:rFonts w:ascii="Calibri" w:cs="Calibri" w:eastAsia="Calibri" w:hAnsi="Calibri"/>
          <w:b/>
          <w:bCs/>
          <w:color w:val="14161B"/>
          <w:sz w:val="22"/>
          <w:szCs w:val="22"/>
        </w:rPr>
        <w:t xml:space="preserve">2. THE MEMORANDUM — CLAUSE BY CLAUSE</w:t>
      </w:r>
    </w:p>
    <w:p>
      <w:pPr>
        <w:keepNext/>
        <w:spacing w:after="100" w:before="200"/>
        <w:outlineLvl w:val="1"/>
      </w:pPr>
      <w:r>
        <w:rPr>
          <w:rFonts w:ascii="Calibri" w:cs="Calibri" w:eastAsia="Calibri" w:hAnsi="Calibri"/>
          <w:b/>
          <w:bCs/>
          <w:color w:val="14161B"/>
          <w:sz w:val="21"/>
          <w:szCs w:val="21"/>
        </w:rPr>
        <w:t xml:space="preserve">2.1 Name clause</w:t>
      </w:r>
    </w:p>
    <w:p>
      <w:pPr>
        <w:spacing w:after="140" w:before="0" w:line="276"/>
        <w:jc w:val="both"/>
      </w:pPr>
      <w:r>
        <w:rPr>
          <w:rFonts w:ascii="Calibri" w:cs="Calibri" w:eastAsia="Calibri" w:hAnsi="Calibri"/>
          <w:sz w:val="21"/>
          <w:szCs w:val="21"/>
        </w:rPr>
        <w:t xml:space="preserve">States the name of the company, ending with "Private Limited" or "Limited" as applicable. Reserve the name before incorporation and check it against existing companies, existing LLPs, and registered trade marks. </w:t>
      </w:r>
      <w:r>
        <w:rPr>
          <w:rFonts w:ascii="Calibri" w:cs="Calibri" w:eastAsia="Calibri" w:hAnsi="Calibri"/>
          <w:i/>
          <w:iCs/>
          <w:sz w:val="21"/>
          <w:szCs w:val="21"/>
        </w:rPr>
        <w:t xml:space="preserve">A name that clears the company registry can still infringe a trade mark; the registry check and the trade mark check are different searches, and only the second one prevents a rebrand two years later.</w:t>
      </w:r>
    </w:p>
    <w:p>
      <w:pPr>
        <w:keepNext/>
        <w:spacing w:after="100" w:before="200"/>
        <w:outlineLvl w:val="1"/>
      </w:pPr>
      <w:r>
        <w:rPr>
          <w:rFonts w:ascii="Calibri" w:cs="Calibri" w:eastAsia="Calibri" w:hAnsi="Calibri"/>
          <w:b/>
          <w:bCs/>
          <w:color w:val="14161B"/>
          <w:sz w:val="21"/>
          <w:szCs w:val="21"/>
        </w:rPr>
        <w:t xml:space="preserve">2.2 Registered office clause</w:t>
      </w:r>
    </w:p>
    <w:p>
      <w:pPr>
        <w:spacing w:after="140" w:before="0" w:line="276"/>
        <w:jc w:val="both"/>
      </w:pPr>
      <w:r>
        <w:rPr>
          <w:rFonts w:ascii="Calibri" w:cs="Calibri" w:eastAsia="Calibri" w:hAnsi="Calibri"/>
          <w:sz w:val="21"/>
          <w:szCs w:val="21"/>
        </w:rPr>
        <w:t xml:space="preserve">States only the State in which the registered office is situated, not the full address. The address itself is notified separately at incorporation and on any change. </w:t>
      </w:r>
      <w:r>
        <w:rPr>
          <w:rFonts w:ascii="Calibri" w:cs="Calibri" w:eastAsia="Calibri" w:hAnsi="Calibri"/>
          <w:b/>
          <w:bCs/>
          <w:sz w:val="21"/>
          <w:szCs w:val="21"/>
        </w:rPr>
        <w:t xml:space="preserve">Consequence:</w:t>
      </w:r>
      <w:r>
        <w:rPr>
          <w:rFonts w:ascii="Calibri" w:cs="Calibri" w:eastAsia="Calibri" w:hAnsi="Calibri"/>
          <w:sz w:val="21"/>
          <w:szCs w:val="21"/>
        </w:rPr>
        <w:t xml:space="preserve"> moving the office within the State does not touch the memorandum; moving it to another State does, and requires a special resolution and approval of the relevant authority. Choose the State with that in mind.</w:t>
      </w:r>
    </w:p>
    <w:p>
      <w:pPr>
        <w:keepNext/>
        <w:spacing w:after="100" w:before="200"/>
        <w:outlineLvl w:val="1"/>
      </w:pPr>
      <w:r>
        <w:rPr>
          <w:rFonts w:ascii="Calibri" w:cs="Calibri" w:eastAsia="Calibri" w:hAnsi="Calibri"/>
          <w:b/>
          <w:bCs/>
          <w:color w:val="14161B"/>
          <w:sz w:val="21"/>
          <w:szCs w:val="21"/>
        </w:rPr>
        <w:t xml:space="preserve">2.3 Objects clause</w:t>
      </w:r>
    </w:p>
    <w:p>
      <w:pPr>
        <w:spacing w:after="100" w:before="0" w:line="276"/>
        <w:jc w:val="both"/>
      </w:pPr>
      <w:r>
        <w:rPr>
          <w:rFonts w:ascii="Calibri" w:cs="Calibri" w:eastAsia="Calibri" w:hAnsi="Calibri"/>
          <w:sz w:val="21"/>
          <w:szCs w:val="21"/>
        </w:rPr>
        <w:t xml:space="preserve">States the objects for which the company is proposed to be incorporated, and any matter considered necessary in furtherance of those objects. </w:t>
      </w:r>
      <w:r>
        <w:rPr>
          <w:rFonts w:ascii="Calibri" w:cs="Calibri" w:eastAsia="Calibri" w:hAnsi="Calibri"/>
          <w:b/>
          <w:bCs/>
          <w:sz w:val="21"/>
          <w:szCs w:val="21"/>
        </w:rPr>
        <w:t xml:space="preserve">Decisions to take here: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Draft the main objects broadly enough to cover the business as it will plausibly develop over the next several years, and narrowly enough to be meaningful. A company incorporated to develop software that later becomes a lending business will need to amend.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An act outside the objects is beyond the company’s capacity. In practice the main risk is not that a contract is unenforceable but that a bank, an investor or a regulator refuses to proceed until the objects are amended, which takes weeks.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If any regulated activity is contemplated — lending, payments, insurance broking, education, healthcare — check the objects wording required by that regulator before incorporation. Several regulators require specific wording and will not accept a generic clause.</w:t>
      </w:r>
    </w:p>
    <w:p>
      <w:pPr>
        <w:spacing w:after="100" w:before="0" w:line="276"/>
        <w:jc w:val="both"/>
      </w:pPr>
    </w:p>
    <w:p>
      <w:pPr>
        <w:keepNext/>
        <w:spacing w:after="100" w:before="200"/>
        <w:outlineLvl w:val="1"/>
      </w:pPr>
      <w:r>
        <w:rPr>
          <w:rFonts w:ascii="Calibri" w:cs="Calibri" w:eastAsia="Calibri" w:hAnsi="Calibri"/>
          <w:b/>
          <w:bCs/>
          <w:color w:val="14161B"/>
          <w:sz w:val="21"/>
          <w:szCs w:val="21"/>
        </w:rPr>
        <w:t xml:space="preserve">2.4 Liability clause</w:t>
      </w:r>
    </w:p>
    <w:p>
      <w:pPr>
        <w:spacing w:after="140" w:before="0" w:line="276"/>
        <w:jc w:val="both"/>
      </w:pPr>
      <w:r>
        <w:rPr>
          <w:rFonts w:ascii="Calibri" w:cs="Calibri" w:eastAsia="Calibri" w:hAnsi="Calibri"/>
          <w:sz w:val="21"/>
          <w:szCs w:val="21"/>
        </w:rPr>
        <w:t xml:space="preserve">States that the liability of the members is limited by shares, or by guarantee, as the case may be. For a company limited by shares, a member’s liability is limited to any amount unpaid on the shares held. </w:t>
      </w:r>
      <w:r>
        <w:rPr>
          <w:rFonts w:ascii="Calibri" w:cs="Calibri" w:eastAsia="Calibri" w:hAnsi="Calibri"/>
          <w:b/>
          <w:bCs/>
          <w:sz w:val="21"/>
          <w:szCs w:val="21"/>
        </w:rPr>
        <w:t xml:space="preserve">Note:</w:t>
      </w:r>
      <w:r>
        <w:rPr>
          <w:rFonts w:ascii="Calibri" w:cs="Calibri" w:eastAsia="Calibri" w:hAnsi="Calibri"/>
          <w:sz w:val="21"/>
          <w:szCs w:val="21"/>
        </w:rPr>
        <w:t xml:space="preserve"> limited liability does not protect a director from liability for that director’s own acts, from statutory liability as an officer in default, or from a personal guarantee given to a lender.</w:t>
      </w:r>
    </w:p>
    <w:p>
      <w:pPr>
        <w:keepNext/>
        <w:spacing w:after="100" w:before="200"/>
        <w:outlineLvl w:val="1"/>
      </w:pPr>
      <w:r>
        <w:rPr>
          <w:rFonts w:ascii="Calibri" w:cs="Calibri" w:eastAsia="Calibri" w:hAnsi="Calibri"/>
          <w:b/>
          <w:bCs/>
          <w:color w:val="14161B"/>
          <w:sz w:val="21"/>
          <w:szCs w:val="21"/>
        </w:rPr>
        <w:t xml:space="preserve">2.5 Capital clause</w:t>
      </w:r>
    </w:p>
    <w:p>
      <w:pPr>
        <w:spacing w:after="100" w:before="0" w:line="276"/>
        <w:jc w:val="both"/>
      </w:pPr>
      <w:r>
        <w:rPr>
          <w:rFonts w:ascii="Calibri" w:cs="Calibri" w:eastAsia="Calibri" w:hAnsi="Calibri"/>
          <w:sz w:val="21"/>
          <w:szCs w:val="21"/>
        </w:rPr>
        <w:t xml:space="preserve">States the authorised share capital and its division into shares of a fixed amount. </w:t>
      </w:r>
      <w:r>
        <w:rPr>
          <w:rFonts w:ascii="Calibri" w:cs="Calibri" w:eastAsia="Calibri" w:hAnsi="Calibri"/>
          <w:b/>
          <w:bCs/>
          <w:sz w:val="21"/>
          <w:szCs w:val="21"/>
        </w:rPr>
        <w:t xml:space="preserve">Decisions to take here: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Face value.</w:t>
      </w:r>
      <w:r>
        <w:rPr>
          <w:rFonts w:ascii="Calibri" w:cs="Calibri" w:eastAsia="Calibri" w:hAnsi="Calibri"/>
          <w:sz w:val="21"/>
          <w:szCs w:val="21"/>
        </w:rPr>
        <w:t xml:space="preserve"> Choose ₹ 1 rather than ₹ 10. Shares cannot be issued below face value, which means a ₹ 10 face value constrains anti-dilution adjustments, convertible note conversions and option exercise prices. Changing it later requires a share split, a resolution and a filing. Choosing ₹ 1 at incorporation costs nothing.</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Authorised capital.</w:t>
      </w:r>
      <w:r>
        <w:rPr>
          <w:rFonts w:ascii="Calibri" w:cs="Calibri" w:eastAsia="Calibri" w:hAnsi="Calibri"/>
          <w:sz w:val="21"/>
          <w:szCs w:val="21"/>
        </w:rPr>
        <w:t xml:space="preserve"> Set it comfortably above the expected issued capital, including the option pool. Increasing it later requires a members’ resolution, a filing and a fee calculated on the increase. Shares cannot be allotted beyond the authorised capital, and running out of headroom in the middle of a funding round or an option exercise is a common and entirely avoidable delay.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Classes.</w:t>
      </w:r>
      <w:r>
        <w:rPr>
          <w:rFonts w:ascii="Calibri" w:cs="Calibri" w:eastAsia="Calibri" w:hAnsi="Calibri"/>
          <w:sz w:val="21"/>
          <w:szCs w:val="21"/>
        </w:rPr>
        <w:t xml:space="preserve"> The memorandum need not create every class in advance, but the articles must permit the issue of preference shares if a priced round is contemplated.</w:t>
      </w:r>
    </w:p>
    <w:p>
      <w:pPr>
        <w:spacing w:after="100" w:before="0" w:line="276"/>
        <w:jc w:val="both"/>
      </w:pPr>
    </w:p>
    <w:p>
      <w:pPr>
        <w:keepNext/>
        <w:spacing w:after="100" w:before="200"/>
        <w:outlineLvl w:val="1"/>
      </w:pPr>
      <w:r>
        <w:rPr>
          <w:rFonts w:ascii="Calibri" w:cs="Calibri" w:eastAsia="Calibri" w:hAnsi="Calibri"/>
          <w:b/>
          <w:bCs/>
          <w:color w:val="14161B"/>
          <w:sz w:val="21"/>
          <w:szCs w:val="21"/>
        </w:rPr>
        <w:t xml:space="preserve">2.6 Subscription clause</w:t>
      </w:r>
    </w:p>
    <w:p>
      <w:pPr>
        <w:spacing w:after="160" w:before="0" w:line="276"/>
        <w:jc w:val="both"/>
      </w:pPr>
      <w:r>
        <w:rPr>
          <w:rFonts w:ascii="Calibri" w:cs="Calibri" w:eastAsia="Calibri" w:hAnsi="Calibri"/>
          <w:sz w:val="21"/>
          <w:szCs w:val="21"/>
        </w:rPr>
        <w:t xml:space="preserve">The subscribers state their agreement to take the shares set against their names. Every subscriber signs, with particulars and a witness. </w:t>
      </w:r>
      <w:r>
        <w:rPr>
          <w:rFonts w:ascii="Calibri" w:cs="Calibri" w:eastAsia="Calibri" w:hAnsi="Calibri"/>
          <w:b/>
          <w:bCs/>
          <w:sz w:val="21"/>
          <w:szCs w:val="21"/>
        </w:rPr>
        <w:t xml:space="preserve">Note:</w:t>
      </w:r>
      <w:r>
        <w:rPr>
          <w:rFonts w:ascii="Calibri" w:cs="Calibri" w:eastAsia="Calibri" w:hAnsi="Calibri"/>
          <w:sz w:val="21"/>
          <w:szCs w:val="21"/>
        </w:rPr>
        <w:t xml:space="preserve"> the subscribers must actually pay for their subscription shares, and evidence of payment must exist. Unpaid subscription money is a recurring finding in diligence and is awkward to remedy years later.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3. THE ARTICLES — DECISIONS TO TAKE BEFORE INCORPORATION</w:t>
      </w:r>
    </w:p>
    <w:p>
      <w:pPr>
        <w:spacing w:after="140" w:before="0" w:line="276"/>
        <w:jc w:val="both"/>
      </w:pPr>
      <w:r>
        <w:rPr>
          <w:rFonts w:ascii="Calibri" w:cs="Calibri" w:eastAsia="Calibri" w:hAnsi="Calibri"/>
          <w:sz w:val="21"/>
          <w:szCs w:val="21"/>
        </w:rPr>
        <w:t xml:space="preserve">Model articles are available in the Schedule to the Act, and a company may adopt them wholly, in part, or not at all. Adopting the model set unmodified is the default and is usually a mistake for any company that intends to raise capital or grant options.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602"/>
        <w:gridCol w:w="4047"/>
        <w:gridCol w:w="260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60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 it matters</w:t>
            </w:r>
          </w:p>
        </w:tc>
        <w:tc>
          <w:tcPr>
            <w:tcW w:type="dxa" w:w="26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Common answer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 articles permit the issue of preference shares, including compulsorily convertible preference shares?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priced round is almost always subscribed in CCPS. Articles that contemplate only equity shares must be amended first, which delays the round.</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 — include an express power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 articles permit an employee stock option scheme and the issue of shares on exercise?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Options need express enabling provisions and headroom in the authorised capital.</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transfer restrictions, pre-emption, tag-along and drag-along included?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shareholders’ agreement binds only its parties. To bind the company and any transferee, these must be in the articles.</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Include at incorporation in outline, refine at the first round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How many directors, and what is the quorum?</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Fix the minimum and maximum. A maximum set too low forces an amendment when an investor director is appointed.</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Minimum 2, maximum 15</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any directors non-rotational?</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 and nominee directors are usually appointed on terms that they do not retire by rotation.</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Provide for it expressly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casting vote for the chairperson?</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casting vote can hand control to whoever chairs. Investors resist it.</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Usually no</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 the board meet and pass resolutions by circulation and by audio-visual means?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Necessary for a distributed board; the enabling provision should be express.</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any provisions entrenched?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Entrenchment makes specified provisions harder to change than by special resolution. It protects a minority but also freezes the position.</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Rarely at incorporation; consider at a later round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 lien on shares, and a power to forfeit for unpaid calls?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 in model articles; harmless but check it does not conflict with investor terms.</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 articles permit the company to indemnify directors and to take insurance?</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 directors will require it.</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Yes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common seal retained, and if so who may affix it?</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seal is no longer mandatory. If the articles require one, documents executed without it can be challenged.</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Either dispense with it or specify who affixes it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260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there restrictions on transmission on death, and a nomination mechanism?</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Avoids a succession dispute freezing the register.</w:t>
            </w:r>
          </w:p>
        </w:tc>
        <w:tc>
          <w:tcPr>
            <w:tcW w:type="dxa" w:w="260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Include</w:t>
            </w:r>
          </w:p>
        </w:tc>
      </w:tr>
    </w:tbl>
    <w:p>
      <w:pPr>
        <w:spacing w:after="160"/>
      </w:pPr>
    </w:p>
    <w:p>
      <w:pPr>
        <w:keepNext/>
        <w:spacing w:after="120" w:before="280"/>
        <w:outlineLvl w:val="0"/>
      </w:pPr>
      <w:r>
        <w:rPr>
          <w:rFonts w:ascii="Calibri" w:cs="Calibri" w:eastAsia="Calibri" w:hAnsi="Calibri"/>
          <w:b/>
          <w:bCs/>
          <w:color w:val="14161B"/>
          <w:sz w:val="22"/>
          <w:szCs w:val="22"/>
        </w:rPr>
        <w:t xml:space="preserve">4. WHERE ARTICLES AND INVESTOR DOCUMENTS MEET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A shareholders’ agreement is a contract among its parties. It does not bind the company unless the company is a party, and it does not bind a future shareholder or a transferee at all. Every substantive right negotiated in a funding round — the liquidation preference, the reserved matters, the pre-emption and transfer restrictions, the tag and drag, the leaver provisions, the anti-dilution adjustment — must also be written into the articles and the amendment filed.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a provision cannot lawfully be put into the articles, the parties give effect to it among themselves as a contract, and the shareholders undertake to vote so as to produce the same result. That is a weaker protection and should be the exception.</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The amendment to the articles is normally a condition precedent to a funding round. Allow time for it: it requires a board resolution, a notice, a special resolution and a filing, and the filed copy is what an investor will ask to see at completion.</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Where the articles and the shareholders’ agreement conflict, the articles govern the company’s acts, and the agreement governs the parties as between themselves. Reconcile them rather than relying on a precedence clause — a conflict that is left in place is a dispute waiting for a trigger.</w:t>
      </w:r>
    </w:p>
    <w:p>
      <w:pPr>
        <w:keepNext/>
        <w:spacing w:after="120" w:before="280"/>
        <w:outlineLvl w:val="0"/>
      </w:pPr>
      <w:r>
        <w:rPr>
          <w:rFonts w:ascii="Calibri" w:cs="Calibri" w:eastAsia="Calibri" w:hAnsi="Calibri"/>
          <w:b/>
          <w:bCs/>
          <w:color w:val="14161B"/>
          <w:sz w:val="22"/>
          <w:szCs w:val="22"/>
        </w:rPr>
        <w:t xml:space="preserve">5. AMENDING LATER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2120"/>
        <w:gridCol w:w="4820"/>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Change</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Approval required</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Also required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name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Name approval; fresh certificate of incorporation; update every registration, licence, bank account and contract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registered office within the same State and the same registrar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with proof of the new address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registered office to another State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Approval of the relevant authority; advertisement; notice to creditors; considerably slower than expected</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Alteration of the objects clause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where money was raised from the public for a stated object, additional requirements apply</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Increase in authorised share capital</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resolution as the articles require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and fee calculated on the increase; check the articles permit an increase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Alteration of the articles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entrenched provisions require whatever the entrenchment provision specifies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Conversion of a private company into a public company or the reverse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Filing and, for some conversions, approval of the relevant authority; consequential changes throughout the articles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Adoption of an entirely new set of articles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resolution</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Adopt the new set in full rather than by successive amendments once changes accumulate</w:t>
            </w:r>
          </w:p>
        </w:tc>
      </w:tr>
    </w:tbl>
    <w:p>
      <w:pPr>
        <w:spacing w:after="160"/>
      </w:pPr>
    </w:p>
    <w:p>
      <w:pPr>
        <w:keepNext/>
        <w:spacing w:after="120" w:before="280"/>
        <w:outlineLvl w:val="0"/>
      </w:pPr>
      <w:r>
        <w:rPr>
          <w:rFonts w:ascii="Calibri" w:cs="Calibri" w:eastAsia="Calibri" w:hAnsi="Calibri"/>
          <w:b/>
          <w:bCs/>
          <w:color w:val="14161B"/>
          <w:sz w:val="22"/>
          <w:szCs w:val="22"/>
        </w:rPr>
        <w:t xml:space="preserve">6. PRE-INCORPORATION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782"/>
        <w:gridCol w:w="963"/>
        <w:gridCol w:w="2412"/>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78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Decided</w:t>
            </w:r>
          </w:p>
        </w:tc>
        <w:tc>
          <w:tcPr>
            <w:tcW w:type="dxa" w:w="241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 reserved, and checked against companies, LLPs and trade marks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State of registered office chosen, with the cost of a later inter-State move in mind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Objects drafted to cover the business as it will plausibly develop</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Regulator-specific objects wording obtained, where any regulated activity is contemplated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Face value set at ₹ 1</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Authorised capital set with headroom for the option pool and the next round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Articles permit preference shares, including compulsorily convertible preference shares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Articles permit an employee stock option scheme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Transfer restrictions, pre-emption, tag and drag included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size, quorum, non-rotational directors and casting vote settled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Meetings by circulation and by audio-visual means expressly permitted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 indemnity and insurance permitted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Common seal position decided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Subscribers’ shares actually paid for, with evidence retained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15</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 agreement and vesting settled before or at incorporation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16</w:t>
            </w:r>
          </w:p>
        </w:tc>
        <w:tc>
          <w:tcPr>
            <w:tcW w:type="dxa" w:w="578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Someone has read the articles end to end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41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This is guidance, not a template to execute</w:t>
      </w:r>
    </w:p>
    <w:p>
      <w:pPr>
        <w:spacing w:after="60" w:line="264"/>
        <w:jc w:val="both"/>
      </w:pPr>
      <w:r>
        <w:rPr>
          <w:rFonts w:ascii="Calibri" w:cs="Calibri" w:eastAsia="Calibri" w:hAnsi="Calibri"/>
          <w:sz w:val="19"/>
          <w:szCs w:val="19"/>
        </w:rPr>
        <w:t xml:space="preserve">The memorandum and articles are filed through the incorporation process and are generated in the prescribed electronic forms. What this document does is set out the decisions to take before that form is filled in, because the form itself does not prompt for them and the defaults are rarely what a company raising capital wants.</w:t>
      </w:r>
    </w:p>
    <w:p>
      <w:pPr>
        <w:keepNext/>
        <w:spacing w:after="40" w:before="140"/>
      </w:pPr>
      <w:r>
        <w:rPr>
          <w:rFonts w:ascii="Calibri" w:cs="Calibri" w:eastAsia="Calibri" w:hAnsi="Calibri"/>
          <w:b/>
          <w:bCs/>
          <w:color w:val="14161B"/>
          <w:sz w:val="20"/>
          <w:szCs w:val="20"/>
        </w:rPr>
        <w:t xml:space="preserve">Item 16 of the checklist is the serious one</w:t>
      </w:r>
    </w:p>
    <w:p>
      <w:pPr>
        <w:spacing w:after="60" w:line="264"/>
        <w:jc w:val="both"/>
      </w:pPr>
      <w:r>
        <w:rPr>
          <w:rFonts w:ascii="Calibri" w:cs="Calibri" w:eastAsia="Calibri" w:hAnsi="Calibri"/>
          <w:sz w:val="19"/>
          <w:szCs w:val="19"/>
        </w:rPr>
        <w:t xml:space="preserve">The most common failure is not a wrong choice but no choice at all: articles adopted from a template by an incorporation agent, never read, and discovered at the first funding round to prohibit something the round requires. Reading them once at incorporation takes an hour.</w:t>
      </w:r>
    </w:p>
    <w:p>
      <w:pPr>
        <w:keepNext/>
        <w:spacing w:after="40" w:before="140"/>
      </w:pPr>
      <w:r>
        <w:rPr>
          <w:rFonts w:ascii="Calibri" w:cs="Calibri" w:eastAsia="Calibri" w:hAnsi="Calibri"/>
          <w:b/>
          <w:bCs/>
          <w:color w:val="14161B"/>
          <w:sz w:val="20"/>
          <w:szCs w:val="20"/>
        </w:rPr>
        <w:t xml:space="preserve">Face value of one rupee</w:t>
      </w:r>
    </w:p>
    <w:p>
      <w:pPr>
        <w:spacing w:after="60" w:line="264"/>
        <w:jc w:val="both"/>
      </w:pPr>
      <w:r>
        <w:rPr>
          <w:rFonts w:ascii="Calibri" w:cs="Calibri" w:eastAsia="Calibri" w:hAnsi="Calibri"/>
          <w:sz w:val="19"/>
          <w:szCs w:val="19"/>
        </w:rPr>
        <w:t xml:space="preserve">Shares cannot be issued below face value. A ₹ 10 face value silently constrains anti-dilution adjustments, convertible note conversions at a low cap, and option exercise prices, and each of those problems appears at a moment when there is no time to fix it. A ₹ 1 face value removes the whole class of problem and costs nothing at incorporation.</w:t>
      </w:r>
    </w:p>
    <w:p>
      <w:pPr>
        <w:keepNext/>
        <w:spacing w:after="40" w:before="140"/>
      </w:pPr>
      <w:r>
        <w:rPr>
          <w:rFonts w:ascii="Calibri" w:cs="Calibri" w:eastAsia="Calibri" w:hAnsi="Calibri"/>
          <w:b/>
          <w:bCs/>
          <w:color w:val="14161B"/>
          <w:sz w:val="20"/>
          <w:szCs w:val="20"/>
        </w:rPr>
        <w:t xml:space="preserve">Authorised capital headroom</w:t>
      </w:r>
    </w:p>
    <w:p>
      <w:pPr>
        <w:spacing w:after="60" w:line="264"/>
        <w:jc w:val="both"/>
      </w:pPr>
      <w:r>
        <w:rPr>
          <w:rFonts w:ascii="Calibri" w:cs="Calibri" w:eastAsia="Calibri" w:hAnsi="Calibri"/>
          <w:sz w:val="19"/>
          <w:szCs w:val="19"/>
        </w:rPr>
        <w:t xml:space="preserve">Allotment beyond the authorised capital is void. Between a funding round, an option pool expansion and exercises, headroom disappears faster than founders expect, and increasing it needs a resolution, a filing and a fee on the increase. Set it generously at the start.</w:t>
      </w:r>
    </w:p>
    <w:p>
      <w:pPr>
        <w:keepNext/>
        <w:spacing w:after="40" w:before="140"/>
      </w:pPr>
      <w:r>
        <w:rPr>
          <w:rFonts w:ascii="Calibri" w:cs="Calibri" w:eastAsia="Calibri" w:hAnsi="Calibri"/>
          <w:b/>
          <w:bCs/>
          <w:color w:val="14161B"/>
          <w:sz w:val="20"/>
          <w:szCs w:val="20"/>
        </w:rPr>
        <w:t xml:space="preserve">The objects clause and regulated businesses</w:t>
      </w:r>
    </w:p>
    <w:p>
      <w:pPr>
        <w:spacing w:after="60" w:line="264"/>
        <w:jc w:val="both"/>
      </w:pPr>
      <w:r>
        <w:rPr>
          <w:rFonts w:ascii="Calibri" w:cs="Calibri" w:eastAsia="Calibri" w:hAnsi="Calibri"/>
          <w:sz w:val="19"/>
          <w:szCs w:val="19"/>
        </w:rPr>
        <w:t xml:space="preserve">Several regulators require specific objects wording and will not accept a generic clause, which means a licence application can stall until the objects are amended — a process measured in weeks. If any regulated activity is even contemplated, get the wording before incorporation.</w:t>
      </w:r>
    </w:p>
    <w:p>
      <w:pPr>
        <w:keepNext/>
        <w:spacing w:after="40" w:before="140"/>
      </w:pPr>
      <w:r>
        <w:rPr>
          <w:rFonts w:ascii="Calibri" w:cs="Calibri" w:eastAsia="Calibri" w:hAnsi="Calibri"/>
          <w:b/>
          <w:bCs/>
          <w:color w:val="14161B"/>
          <w:sz w:val="20"/>
          <w:szCs w:val="20"/>
        </w:rPr>
        <w:t xml:space="preserve">State of the registered office</w:t>
      </w:r>
    </w:p>
    <w:p>
      <w:pPr>
        <w:spacing w:after="60" w:line="264"/>
        <w:jc w:val="both"/>
      </w:pPr>
      <w:r>
        <w:rPr>
          <w:rFonts w:ascii="Calibri" w:cs="Calibri" w:eastAsia="Calibri" w:hAnsi="Calibri"/>
          <w:sz w:val="19"/>
          <w:szCs w:val="19"/>
        </w:rPr>
        <w:t xml:space="preserve">Moving within a State is a board matter. Moving to another State requires a special resolution, approval of the relevant authority, advertisement and notice to creditors, and takes far longer than anyone plans for. Choose the State deliberately, particularly where the founders expect to relocate.</w:t>
      </w:r>
    </w:p>
    <w:p>
      <w:pPr>
        <w:keepNext/>
        <w:spacing w:after="40" w:before="140"/>
      </w:pPr>
      <w:r>
        <w:rPr>
          <w:rFonts w:ascii="Calibri" w:cs="Calibri" w:eastAsia="Calibri" w:hAnsi="Calibri"/>
          <w:b/>
          <w:bCs/>
          <w:color w:val="14161B"/>
          <w:sz w:val="20"/>
          <w:szCs w:val="20"/>
        </w:rPr>
        <w:t xml:space="preserve">The articles are where investor terms live</w:t>
      </w:r>
    </w:p>
    <w:p>
      <w:pPr>
        <w:spacing w:after="60" w:line="264"/>
        <w:jc w:val="both"/>
      </w:pPr>
      <w:r>
        <w:rPr>
          <w:rFonts w:ascii="Calibri" w:cs="Calibri" w:eastAsia="Calibri" w:hAnsi="Calibri"/>
          <w:sz w:val="19"/>
          <w:szCs w:val="19"/>
        </w:rPr>
        <w:t xml:space="preserve">A shareholders’ agreement does not bind the company or a transferee. Preference terms, reserved matters, transfer restrictions, tag, drag and leaver provisions must be in the articles to be effective against anyone other than the signatories. Amending the articles is normally a condition precedent to completion, and it is the step most often left to the last week.</w:t>
      </w:r>
    </w:p>
    <w:p>
      <w:pPr>
        <w:keepNext/>
        <w:spacing w:after="40" w:before="140"/>
      </w:pPr>
      <w:r>
        <w:rPr>
          <w:rFonts w:ascii="Calibri" w:cs="Calibri" w:eastAsia="Calibri" w:hAnsi="Calibri"/>
          <w:b/>
          <w:bCs/>
          <w:color w:val="14161B"/>
          <w:sz w:val="20"/>
          <w:szCs w:val="20"/>
        </w:rPr>
        <w:t xml:space="preserve">Entrenchment cuts both ways</w:t>
      </w:r>
    </w:p>
    <w:p>
      <w:pPr>
        <w:spacing w:after="60" w:line="264"/>
        <w:jc w:val="both"/>
      </w:pPr>
      <w:r>
        <w:rPr>
          <w:rFonts w:ascii="Calibri" w:cs="Calibri" w:eastAsia="Calibri" w:hAnsi="Calibri"/>
          <w:sz w:val="19"/>
          <w:szCs w:val="19"/>
        </w:rPr>
        <w:t xml:space="preserve">An entrenchment provision makes specified provisions harder to alter than by special resolution. It is a genuine protection for a minority, and it equally prevents the company from making a change that everyone later wants. Consider it at a funding round rather than at incorporation, and only for a small number of provisions.</w:t>
      </w:r>
    </w:p>
    <w:p>
      <w:pPr>
        <w:keepNext/>
        <w:spacing w:after="40" w:before="140"/>
      </w:pPr>
      <w:r>
        <w:rPr>
          <w:rFonts w:ascii="Calibri" w:cs="Calibri" w:eastAsia="Calibri" w:hAnsi="Calibri"/>
          <w:b/>
          <w:bCs/>
          <w:color w:val="14161B"/>
          <w:sz w:val="20"/>
          <w:szCs w:val="20"/>
        </w:rPr>
        <w:t xml:space="preserve">The common seal</w:t>
      </w:r>
    </w:p>
    <w:p>
      <w:pPr>
        <w:spacing w:after="60" w:line="264"/>
        <w:jc w:val="both"/>
      </w:pPr>
      <w:r>
        <w:rPr>
          <w:rFonts w:ascii="Calibri" w:cs="Calibri" w:eastAsia="Calibri" w:hAnsi="Calibri"/>
          <w:sz w:val="19"/>
          <w:szCs w:val="19"/>
        </w:rPr>
        <w:t xml:space="preserve">A seal is no longer mandatory, but if the articles require one, documents executed without it are open to challenge. Either dispense with the requirement in the articles or specify clearly who may affix it and who countersigns. Companies frequently retain the clause and then never use the seal.</w:t>
      </w:r>
    </w:p>
    <w:p>
      <w:pPr>
        <w:keepNext/>
        <w:spacing w:after="40" w:before="140"/>
      </w:pPr>
      <w:r>
        <w:rPr>
          <w:rFonts w:ascii="Calibri" w:cs="Calibri" w:eastAsia="Calibri" w:hAnsi="Calibri"/>
          <w:b/>
          <w:bCs/>
          <w:color w:val="14161B"/>
          <w:sz w:val="20"/>
          <w:szCs w:val="20"/>
        </w:rPr>
        <w:t xml:space="preserve">Subscribers must actually pay</w:t>
      </w:r>
    </w:p>
    <w:p>
      <w:pPr>
        <w:spacing w:after="60" w:line="264"/>
        <w:jc w:val="both"/>
      </w:pPr>
      <w:r>
        <w:rPr>
          <w:rFonts w:ascii="Calibri" w:cs="Calibri" w:eastAsia="Calibri" w:hAnsi="Calibri"/>
          <w:sz w:val="19"/>
          <w:szCs w:val="19"/>
        </w:rPr>
        <w:t xml:space="preserve">Subscription money for the initial shares must be paid and evidenced. Unpaid subscription capital is a routine diligence finding, is embarrassing to explain, and is difficult to remedy cleanly years afterwards. Pay it into the company’s account at incorporation and keep the statement.</w:t>
      </w:r>
    </w:p>
    <w:p>
      <w:pPr>
        <w:keepNext/>
        <w:spacing w:after="40" w:before="140"/>
      </w:pPr>
      <w:r>
        <w:rPr>
          <w:rFonts w:ascii="Calibri" w:cs="Calibri" w:eastAsia="Calibri" w:hAnsi="Calibri"/>
          <w:b/>
          <w:bCs/>
          <w:color w:val="14161B"/>
          <w:sz w:val="20"/>
          <w:szCs w:val="20"/>
        </w:rPr>
        <w:t xml:space="preserve">Adopt a new set rather than amending repeatedly</w:t>
      </w:r>
    </w:p>
    <w:p>
      <w:pPr>
        <w:spacing w:after="60" w:line="264"/>
        <w:jc w:val="both"/>
      </w:pPr>
      <w:r>
        <w:rPr>
          <w:rFonts w:ascii="Calibri" w:cs="Calibri" w:eastAsia="Calibri" w:hAnsi="Calibri"/>
          <w:sz w:val="19"/>
          <w:szCs w:val="19"/>
        </w:rPr>
        <w:t xml:space="preserve">Once the articles have been amended three or four times across successive rounds, no single document states the position and the risk of an internal conflict rises sharply. At that point adopt an entirely new set by special resolution rather than layering another amendment.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prescribed forms, the model articles, approval routes and fee structures all change — have the memorandum and articles settled by a company secretary before incorporation, and reviewed again before the first funding round.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2026-08-21T12:53:54.678Z</dcterms:created>
  <dcterms:modified xsi:type="dcterms:W3CDTF">2026-08-21T12:53:54.678Z</dcterms:modified>
</cp:coreProperties>
</file>

<file path=docProps/custom.xml><?xml version="1.0" encoding="utf-8"?>
<Properties xmlns="http://schemas.openxmlformats.org/officeDocument/2006/custom-properties" xmlns:vt="http://schemas.openxmlformats.org/officeDocument/2006/docPropsVTypes"/>
</file>