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SUPPLEMENTARY AGREEMENT TO AN LLP AGREEMENT</w:t>
      </w:r>
    </w:p>
    <w:p>
      <w:pPr>
        <w:spacing w:after="260"/>
        <w:jc w:val="center"/>
      </w:pPr>
      <w:r>
        <w:rPr>
          <w:rFonts w:ascii="Calibri" w:cs="Calibri" w:eastAsia="Calibri" w:hAnsi="Calibri"/>
          <w:b/>
          <w:bCs/>
          <w:i/>
          <w:iCs/>
          <w:color w:val="6E7480"/>
          <w:sz w:val="19"/>
          <w:szCs w:val="19"/>
        </w:rPr>
        <w:t xml:space="preserve">[LLP NAME]</w:t>
      </w:r>
      <w:r>
        <w:rPr>
          <w:rFonts w:ascii="Calibri" w:cs="Calibri" w:eastAsia="Calibri" w:hAnsi="Calibri"/>
          <w:i/>
          <w:iCs/>
          <w:color w:val="6E7480"/>
          <w:sz w:val="19"/>
          <w:szCs w:val="19"/>
        </w:rPr>
        <w:t xml:space="preserve"> LLP</w:t>
      </w:r>
    </w:p>
    <w:p>
      <w:pPr>
        <w:spacing w:after="180" w:before="0" w:line="276"/>
        <w:jc w:val="both"/>
      </w:pPr>
      <w:r>
        <w:rPr>
          <w:rFonts w:ascii="Calibri" w:cs="Calibri" w:eastAsia="Calibri" w:hAnsi="Calibri"/>
          <w:i/>
          <w:iCs/>
          <w:color w:val="6E7480"/>
          <w:sz w:val="21"/>
          <w:szCs w:val="21"/>
        </w:rPr>
        <w:t xml:space="preserve">Every change to an LLP agreement — contribution, profit sharing, business, registered office, designated partners, remuneration, or any clause at all — must be recorded in a supplementary agreement and filed with the Registrar within the period prescribed. An amendment agreed among the partners but never filed does not appear on the register, and the LLP’s own position becomes unprovable.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LLP</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[LLP NAME]</w:t>
            </w:r>
            <w:r>
              <w:rPr>
                <w:rFonts w:ascii="Calibri" w:cs="Calibri" w:eastAsia="Calibri" w:hAnsi="Calibri"/>
                <w:b/>
                <w:bCs/>
                <w:sz w:val="19"/>
                <w:szCs w:val="19"/>
              </w:rPr>
              <w:t xml:space="preserve"> LLP</w:t>
            </w:r>
            <w:r>
              <w:rPr>
                <w:rFonts w:ascii="Calibri" w:cs="Calibri" w:eastAsia="Calibri" w:hAnsi="Calibri"/>
                <w:sz w:val="19"/>
                <w:szCs w:val="19"/>
              </w:rPr>
              <w:t xml:space="preserve">, LLPIN </w:t>
            </w:r>
            <w:r>
              <w:rPr>
                <w:rFonts w:ascii="Calibri" w:cs="Calibri" w:eastAsia="Calibri" w:hAnsi="Calibri"/>
                <w:b/>
                <w:bCs/>
                <w:sz w:val="19"/>
                <w:szCs w:val="19"/>
              </w:rPr>
              <w:t xml:space="preserve">[LLPIN]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agreement dated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supplementary agreements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 or "None"]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This supplementary agreement number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the amendment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[SUMMARISE IN ONE LINE]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Filing due by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prescribed form recording the change in the LLP agreement</w:t>
            </w:r>
          </w:p>
        </w:tc>
      </w:tr>
    </w:tbl>
    <w:p>
      <w:pPr>
        <w:spacing w:after="180"/>
      </w:pPr>
    </w:p>
    <w:p>
      <w:pPr>
        <w:spacing w:after="140" w:before="0" w:line="276"/>
        <w:jc w:val="both"/>
      </w:pPr>
      <w:r>
        <w:rPr>
          <w:rFonts w:ascii="Calibri" w:cs="Calibri" w:eastAsia="Calibri" w:hAnsi="Calibri"/>
          <w:b/>
          <w:bCs/>
          <w:sz w:val="21"/>
          <w:szCs w:val="21"/>
        </w:rPr>
        <w:t xml:space="preserve">THIS SUPPLEMENTARY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[PARTNER 1]</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DPIN]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[PARTNER 2]</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DPIN]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[PARTNER 3]</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DPIN]</w:t>
      </w:r>
    </w:p>
    <w:p>
      <w:pPr>
        <w:spacing w:after="140" w:before="100" w:line="276"/>
        <w:jc w:val="both"/>
      </w:pPr>
      <w:r>
        <w:rPr>
          <w:rFonts w:ascii="Calibri" w:cs="Calibri" w:eastAsia="Calibri" w:hAnsi="Calibri"/>
          <w:sz w:val="21"/>
          <w:szCs w:val="21"/>
        </w:rPr>
        <w:t xml:space="preserve">(together, the "</w:t>
      </w:r>
      <w:r>
        <w:rPr>
          <w:rFonts w:ascii="Calibri" w:cs="Calibri" w:eastAsia="Calibri" w:hAnsi="Calibri"/>
          <w:b/>
          <w:bCs/>
          <w:sz w:val="21"/>
          <w:szCs w:val="21"/>
        </w:rPr>
        <w:t xml:space="preserve">Partners</w:t>
      </w:r>
      <w:r>
        <w:rPr>
          <w:rFonts w:ascii="Calibri" w:cs="Calibri" w:eastAsia="Calibri" w:hAnsi="Calibri"/>
          <w:sz w:val="21"/>
          <w:szCs w:val="21"/>
        </w:rPr>
        <w:t xml:space="preserve">"), and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r>
        <w:rPr>
          <w:rFonts w:ascii="Calibri" w:cs="Calibri" w:eastAsia="Calibri" w:hAnsi="Calibri"/>
          <w:sz w:val="21"/>
          <w:szCs w:val="21"/>
        </w:rPr>
        <w:t xml:space="preserve">, a limited liability partnership incorporated under the Limited Liability Partnership Act, 2008 bearing LLPIN </w:t>
      </w:r>
      <w:r>
        <w:rPr>
          <w:rFonts w:ascii="Calibri" w:cs="Calibri" w:eastAsia="Calibri" w:hAnsi="Calibri"/>
          <w:b/>
          <w:bCs/>
          <w:sz w:val="21"/>
          <w:szCs w:val="21"/>
        </w:rPr>
        <w:t xml:space="preserve">[LLPIN]</w:t>
      </w:r>
      <w:r>
        <w:rPr>
          <w:rFonts w:ascii="Calibri" w:cs="Calibri" w:eastAsia="Calibri" w:hAnsi="Calibri"/>
          <w:sz w:val="21"/>
          <w:szCs w:val="21"/>
        </w:rPr>
        <w:t xml:space="preserve"> (the "</w:t>
      </w:r>
      <w:r>
        <w:rPr>
          <w:rFonts w:ascii="Calibri" w:cs="Calibri" w:eastAsia="Calibri" w:hAnsi="Calibri"/>
          <w:b/>
          <w:bCs/>
          <w:sz w:val="21"/>
          <w:szCs w:val="21"/>
        </w:rPr>
        <w:t xml:space="preserve">LLP</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Partners and the LLP are parties to an LLP agreement dated </w:t>
      </w:r>
      <w:r>
        <w:rPr>
          <w:rFonts w:ascii="Calibri" w:cs="Calibri" w:eastAsia="Calibri" w:hAnsi="Calibri"/>
          <w:b/>
          <w:bCs/>
          <w:sz w:val="21"/>
          <w:szCs w:val="21"/>
        </w:rPr>
        <w:t xml:space="preserve">[DATE]</w:t>
      </w:r>
      <w:r>
        <w:rPr>
          <w:rFonts w:ascii="Calibri" w:cs="Calibri" w:eastAsia="Calibri" w:hAnsi="Calibri"/>
          <w:b/>
          <w:bCs/>
          <w:sz w:val="21"/>
          <w:szCs w:val="21"/>
        </w:rPr>
        <w:t xml:space="preserve">[, as amended by supplementary agreements dated ______]</w:t>
      </w:r>
      <w:r>
        <w:rPr>
          <w:rFonts w:ascii="Calibri" w:cs="Calibri" w:eastAsia="Calibri" w:hAnsi="Calibri"/>
          <w:sz w:val="21"/>
          <w:szCs w:val="21"/>
        </w:rPr>
        <w:t xml:space="preserve"> (together, the "</w:t>
      </w:r>
      <w:r>
        <w:rPr>
          <w:rFonts w:ascii="Calibri" w:cs="Calibri" w:eastAsia="Calibri" w:hAnsi="Calibri"/>
          <w:b/>
          <w:bCs/>
          <w:sz w:val="21"/>
          <w:szCs w:val="21"/>
        </w:rPr>
        <w:t xml:space="preserve">Principal Agreement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Partners have agreed to amend the Principal Agreement in the manner set out below, and to record that amendment by this Supplementary Agreement.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amendment has been approved by the Partners at a meeting held on </w:t>
      </w:r>
      <w:r>
        <w:rPr>
          <w:rFonts w:ascii="Calibri" w:cs="Calibri" w:eastAsia="Calibri" w:hAnsi="Calibri"/>
          <w:b/>
          <w:bCs/>
          <w:sz w:val="21"/>
          <w:szCs w:val="21"/>
        </w:rPr>
        <w:t xml:space="preserve">[DATE]</w:t>
      </w:r>
      <w:r>
        <w:rPr>
          <w:rFonts w:ascii="Calibri" w:cs="Calibri" w:eastAsia="Calibri" w:hAnsi="Calibri"/>
          <w:sz w:val="21"/>
          <w:szCs w:val="21"/>
        </w:rPr>
        <w:t xml:space="preserve">, in accordance with Clause </w:t>
      </w:r>
      <w:r>
        <w:rPr>
          <w:rFonts w:ascii="Calibri" w:cs="Calibri" w:eastAsia="Calibri" w:hAnsi="Calibri"/>
          <w:b/>
          <w:bCs/>
          <w:sz w:val="21"/>
          <w:szCs w:val="21"/>
        </w:rPr>
        <w:t xml:space="preserve">[NUMBER]</w:t>
      </w:r>
      <w:r>
        <w:rPr>
          <w:rFonts w:ascii="Calibri" w:cs="Calibri" w:eastAsia="Calibri" w:hAnsi="Calibri"/>
          <w:sz w:val="21"/>
          <w:szCs w:val="21"/>
        </w:rPr>
        <w:t xml:space="preserve"> of the Principal Agreement.</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AMENDMENT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Effective Date</w:t>
      </w:r>
      <w:r>
        <w:rPr>
          <w:rFonts w:ascii="Calibri" w:cs="Calibri" w:eastAsia="Calibri" w:hAnsi="Calibri"/>
          <w:sz w:val="21"/>
          <w:szCs w:val="21"/>
        </w:rPr>
        <w:t xml:space="preserve">"), the Principal Agreement is amended as set out in Schedule 1.</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Where Schedule 1 provides for a clause of the Principal Agreement to be deleted and replaced, the replacement clause shall be read as if it had always formed part of the Principal Agreement from the Effective Date.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Schedule 1 provides for a schedule of the Principal Agreement to be replaced, the replacement schedule is set out in Schedule 2 to this Supplementary Agreement.</w:t>
      </w:r>
    </w:p>
    <w:p>
      <w:pPr>
        <w:keepNext/>
        <w:spacing w:after="120" w:before="280"/>
        <w:outlineLvl w:val="0"/>
      </w:pPr>
      <w:r>
        <w:rPr>
          <w:rFonts w:ascii="Calibri" w:cs="Calibri" w:eastAsia="Calibri" w:hAnsi="Calibri"/>
          <w:b/>
          <w:bCs/>
          <w:color w:val="14161B"/>
          <w:sz w:val="22"/>
          <w:szCs w:val="22"/>
        </w:rPr>
        <w:t xml:space="preserve">2. CONFIRMATION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Save as expressly amended by this Supplementary Agreement, the Principal Agreement remains in full force and effect, and the Partners confirm and ratify it as amended.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This Supplementary Agreement and the Principal Agreement shall be read and construed as one document. In the event of any conflict between them, this Supplementary Agreement prevails.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Nothing in this Supplementary Agreement shall affect any right or obligation accrued under the Principal Agreement before the Effective Date.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Partners confirm that the amendment has been made in accordance with the requirements of the Principal Agreement as to the consent required, and that no consent of any lender, landlord or other third party is required, </w:t>
      </w:r>
      <w:r>
        <w:rPr>
          <w:rFonts w:ascii="Calibri" w:cs="Calibri" w:eastAsia="Calibri" w:hAnsi="Calibri"/>
          <w:b/>
          <w:bCs/>
          <w:sz w:val="21"/>
          <w:szCs w:val="21"/>
        </w:rPr>
        <w:t xml:space="preserve">[or, where such consent is required, that it has been obtained and is annexed]</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CONSEQUENTIAL MATTERS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the amendment changes the contribution of any Partner, that Partner shall bring in or withdraw the amount concerned by </w:t>
      </w:r>
      <w:r>
        <w:rPr>
          <w:rFonts w:ascii="Calibri" w:cs="Calibri" w:eastAsia="Calibri" w:hAnsi="Calibri"/>
          <w:b/>
          <w:bCs/>
          <w:sz w:val="21"/>
          <w:szCs w:val="21"/>
        </w:rPr>
        <w:t xml:space="preserve">[DATE]</w:t>
      </w:r>
      <w:r>
        <w:rPr>
          <w:rFonts w:ascii="Calibri" w:cs="Calibri" w:eastAsia="Calibri" w:hAnsi="Calibri"/>
          <w:sz w:val="21"/>
          <w:szCs w:val="21"/>
        </w:rPr>
        <w:t xml:space="preserve">, and the books of account of the LLP shall be adjusted accordingly.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amendment changes the profit-sharing proportions, the revised proportions shall apply to profits and losses arising on and after the Effective Date. Profits and losses arising before that date shall be shared in the proportions applicable before it, and the accounts shall be apportioned accordingly.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Where the amendment changes the remuneration payable to a working partner, the revised remuneration shall be payable only in respect of periods falling on and after the Effective Date, which shall not be earlier than the date of execution of this Supplementary Agreement.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Where the amendment changes the designated partners, the Partners confirm that after the change the LLP will have not fewer than two individual designated partners, at least one of whom is a person resident in India.</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Where the amendment changes the registered office or the name of the LLP, the Partners shall make the separate filings required for that change, in addition to the filing of this Supplementary Agreement.</w:t>
      </w:r>
    </w:p>
    <w:p>
      <w:pPr>
        <w:keepNext/>
        <w:spacing w:after="120" w:before="280"/>
        <w:outlineLvl w:val="0"/>
      </w:pPr>
      <w:r>
        <w:rPr>
          <w:rFonts w:ascii="Calibri" w:cs="Calibri" w:eastAsia="Calibri" w:hAnsi="Calibri"/>
          <w:b/>
          <w:bCs/>
          <w:color w:val="14161B"/>
          <w:sz w:val="22"/>
          <w:szCs w:val="22"/>
        </w:rPr>
        <w:t xml:space="preserve">4. FILING AND GENERAL</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designated partners shall file this Supplementary Agreement with the Registrar in the prescribed form within the period prescribed, and shall pay the prescribed fee and any additional fee.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LLP shall retain the executed original with the Principal Agreement at its registered office, and shall furnish a copy to each Partner.</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This Supplementary Agreement may be executed in counterparts and by electronic signature, and each counterpart is an original.</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This Supplementary Agreement is governed by the laws of India and by the Limited Liability Partnership Act, 2008. Clause </w:t>
      </w:r>
      <w:r>
        <w:rPr>
          <w:rFonts w:ascii="Calibri" w:cs="Calibri" w:eastAsia="Calibri" w:hAnsi="Calibri"/>
          <w:b/>
          <w:bCs/>
          <w:sz w:val="21"/>
          <w:szCs w:val="21"/>
        </w:rPr>
        <w:t xml:space="preserve">[NUMBER]</w:t>
      </w:r>
      <w:r>
        <w:rPr>
          <w:rFonts w:ascii="Calibri" w:cs="Calibri" w:eastAsia="Calibri" w:hAnsi="Calibri"/>
          <w:sz w:val="21"/>
          <w:szCs w:val="21"/>
        </w:rPr>
        <w:t xml:space="preserve"> of the Principal Agreement (dispute resolution) applies to it.</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Supplementary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3]</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Designated Partner  DPIN: </w:t>
            </w:r>
            <w:r>
              <w:rPr>
                <w:rFonts w:ascii="Calibri" w:cs="Calibri" w:eastAsia="Calibri" w:hAnsi="Calibri"/>
                <w:b/>
                <w:bCs/>
                <w:sz w:val="21"/>
                <w:szCs w:val="21"/>
              </w:rPr>
              <w:t xml:space="preserve">[DPIN]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The Amendment</w:t>
      </w:r>
    </w:p>
    <w:p>
      <w:pPr>
        <w:spacing w:after="140" w:before="0" w:line="276"/>
        <w:jc w:val="both"/>
      </w:pPr>
      <w:r>
        <w:rPr>
          <w:rFonts w:ascii="Calibri" w:cs="Calibri" w:eastAsia="Calibri" w:hAnsi="Calibri"/>
          <w:i/>
          <w:iCs/>
          <w:sz w:val="21"/>
          <w:szCs w:val="21"/>
        </w:rPr>
        <w:t xml:space="preserve">Set out the amendment clause by clause. Quote the existing text and the replacement text in full — a schedule that says "Clause 3.1 is amended to reflect the revised profit sharing" is not an amendment, because it does not say what the clause now reads.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927"/>
        <w:gridCol w:w="1638"/>
        <w:gridCol w:w="2795"/>
        <w:gridCol w:w="279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Clause or schedule of the Principal Agreement</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279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Existing text</w:t>
            </w:r>
          </w:p>
        </w:tc>
        <w:tc>
          <w:tcPr>
            <w:tcW w:type="dxa" w:w="27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Replacement text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Clause </w:t>
            </w:r>
            <w:r>
              <w:rPr>
                <w:rFonts w:ascii="Calibri" w:cs="Calibri" w:eastAsia="Calibri" w:hAnsi="Calibri"/>
                <w:b/>
                <w:bCs/>
                <w:sz w:val="18"/>
                <w:szCs w:val="18"/>
              </w:rPr>
              <w:t xml:space="preserve">[NUMBER]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[Deleted and replaced / Amended / Inserted / Deleted]</w:t>
            </w:r>
          </w:p>
        </w:tc>
        <w:tc>
          <w:tcPr>
            <w:tcW w:type="dxa" w:w="279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[QUOTE THE EXISTING TEXT IN FULL]</w:t>
            </w:r>
          </w:p>
        </w:tc>
        <w:tc>
          <w:tcPr>
            <w:tcW w:type="dxa" w:w="27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[QUOTE THE NEW TEXT IN FULL]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Clause </w:t>
            </w:r>
            <w:r>
              <w:rPr>
                <w:rFonts w:ascii="Calibri" w:cs="Calibri" w:eastAsia="Calibri" w:hAnsi="Calibri"/>
                <w:b/>
                <w:bCs/>
                <w:sz w:val="18"/>
                <w:szCs w:val="18"/>
              </w:rPr>
              <w:t xml:space="preserve">[NUMBER]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279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[EXISTING TEXT]</w:t>
            </w:r>
          </w:p>
        </w:tc>
        <w:tc>
          <w:tcPr>
            <w:tcW w:type="dxa" w:w="27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[NEW TEXT]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Schedule </w:t>
            </w:r>
            <w:r>
              <w:rPr>
                <w:rFonts w:ascii="Calibri" w:cs="Calibri" w:eastAsia="Calibri" w:hAnsi="Calibri"/>
                <w:b/>
                <w:bCs/>
                <w:sz w:val="18"/>
                <w:szCs w:val="18"/>
              </w:rPr>
              <w:t xml:space="preserve">[NUMBER]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Deleted and replaced</w:t>
            </w:r>
          </w:p>
        </w:tc>
        <w:tc>
          <w:tcPr>
            <w:tcW w:type="dxa" w:w="279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existing Schedule </w:t>
            </w:r>
            <w:r>
              <w:rPr>
                <w:rFonts w:ascii="Calibri" w:cs="Calibri" w:eastAsia="Calibri" w:hAnsi="Calibri"/>
                <w:b/>
                <w:bCs/>
                <w:sz w:val="18"/>
                <w:szCs w:val="18"/>
              </w:rPr>
              <w:t xml:space="preserve">[NUMBER]</w:t>
            </w:r>
          </w:p>
        </w:tc>
        <w:tc>
          <w:tcPr>
            <w:tcW w:type="dxa" w:w="27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revised Schedule set out in Schedule 2 to this Supplementary Agreement</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Revised Schedule to the Principal Agreement</w:t>
      </w:r>
    </w:p>
    <w:p>
      <w:pPr>
        <w:spacing w:after="140" w:before="0" w:line="276"/>
        <w:jc w:val="both"/>
      </w:pPr>
      <w:r>
        <w:rPr>
          <w:rFonts w:ascii="Calibri" w:cs="Calibri" w:eastAsia="Calibri" w:hAnsi="Calibri"/>
          <w:i/>
          <w:iCs/>
          <w:sz w:val="21"/>
          <w:szCs w:val="21"/>
        </w:rPr>
        <w:t xml:space="preserve">Use where a schedule is being replaced — most commonly the schedule of contributions and profit sharing. Delete this Schedule if no schedule is being replaced.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1542"/>
        <w:gridCol w:w="1542"/>
        <w:gridCol w:w="1349"/>
        <w:gridCol w:w="1349"/>
        <w:gridCol w:w="1255"/>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Contribution before (₹)</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Contribution after (₹)</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Profit share before %</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Profit share after %</w:t>
            </w:r>
          </w:p>
        </w:tc>
        <w:tc>
          <w:tcPr>
            <w:tcW w:type="dxa" w:w="125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Loss share after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1]</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25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2]</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25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3]</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25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125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r>
    </w:tbl>
    <w:p>
      <w:pPr>
        <w:spacing w:after="160"/>
      </w:pPr>
    </w:p>
    <w:p>
      <w:pPr>
        <w:spacing w:after="60" w:before="240"/>
        <w:jc w:val="center"/>
      </w:pPr>
      <w:r>
        <w:rPr>
          <w:rFonts w:ascii="Calibri" w:cs="Calibri" w:eastAsia="Calibri" w:hAnsi="Calibri"/>
          <w:b/>
          <w:bCs/>
          <w:color w:val="14161B"/>
          <w:spacing w:val="12"/>
          <w:sz w:val="28"/>
          <w:szCs w:val="28"/>
        </w:rPr>
        <w:t xml:space="preserve">COMMON AMENDMENTS</w:t>
      </w:r>
    </w:p>
    <w:p>
      <w:pPr>
        <w:spacing w:after="260"/>
        <w:jc w:val="center"/>
      </w:pPr>
      <w:r>
        <w:rPr>
          <w:rFonts w:ascii="Calibri" w:cs="Calibri" w:eastAsia="Calibri" w:hAnsi="Calibri"/>
          <w:i/>
          <w:iCs/>
          <w:color w:val="6E7480"/>
          <w:sz w:val="19"/>
          <w:szCs w:val="19"/>
        </w:rPr>
        <w:t xml:space="preserve">What each one also requires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469"/>
        <w:gridCol w:w="3664"/>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Amendment</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Also required</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Watch</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in contribution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Money actually brought in or withdrawn; books adjusted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Contribution ratio and profit ratio can differ — do not assume one follows the other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in profit sharing</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Apportionment of profits before and after the effective date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be applied retrospectively to a period already closed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Introduction or change of partner remuneration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Execution before the period to which it relates begins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Retrospective authorisation is not deductible; this is the most common and most costly error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Admission or retirement of a partner</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separate prescribed form recording the change in partners, with consent attached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Two filings, not 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designated partner</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separate prescribed form; identification number active before appointment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two individual designated partners, at least one resident in India, at all times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registered office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separate prescribed form for the office change; proof of the new address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change to another State has additional requirements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name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approval and the separate prescribed form; fresh incorporation certificate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every registration, licence, bank account and letterhead afterwards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in the business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whether any licence, registration or lender consent is conditional on the existing business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change of business can breach a facility covenant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in the decision-making or expulsion clauses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Unanimous consent unless the agreement provides otherwise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be used to remove rights of a partner who does not consent</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Amend by supplementary agreement, and file it</w:t>
      </w:r>
    </w:p>
    <w:p>
      <w:pPr>
        <w:spacing w:after="60" w:line="264"/>
        <w:jc w:val="both"/>
      </w:pPr>
      <w:r>
        <w:rPr>
          <w:rFonts w:ascii="Calibri" w:cs="Calibri" w:eastAsia="Calibri" w:hAnsi="Calibri"/>
          <w:sz w:val="19"/>
          <w:szCs w:val="19"/>
        </w:rPr>
        <w:t xml:space="preserve">Any change to an LLP agreement must be recorded in a supplementary agreement and filed with the Registrar in the prescribed form within the period prescribed. An amendment the partners have agreed but never filed is not on the register, and where the LLP’s internal position and the register disagree, it is the LLP that has to explain the discrepancy — usually to a bank, an auditor or a buyer.</w:t>
      </w:r>
    </w:p>
    <w:p>
      <w:pPr>
        <w:keepNext/>
        <w:spacing w:after="40" w:before="140"/>
      </w:pPr>
      <w:r>
        <w:rPr>
          <w:rFonts w:ascii="Calibri" w:cs="Calibri" w:eastAsia="Calibri" w:hAnsi="Calibri"/>
          <w:b/>
          <w:bCs/>
          <w:color w:val="14161B"/>
          <w:sz w:val="20"/>
          <w:szCs w:val="20"/>
        </w:rPr>
        <w:t xml:space="preserve">Quote the text, do not describe it</w:t>
      </w:r>
    </w:p>
    <w:p>
      <w:pPr>
        <w:spacing w:after="60" w:line="264"/>
        <w:jc w:val="both"/>
      </w:pPr>
      <w:r>
        <w:rPr>
          <w:rFonts w:ascii="Calibri" w:cs="Calibri" w:eastAsia="Calibri" w:hAnsi="Calibri"/>
          <w:sz w:val="19"/>
          <w:szCs w:val="19"/>
        </w:rPr>
        <w:t xml:space="preserve">Schedule 1 requires both the existing and the replacement text in full. A supplementary agreement that describes the effect of an amendment without setting out the new wording leaves the current terms of the LLP agreement genuinely uncertain, and after two or three such amendments nobody can say what the agreement says. This is the single most common defect in LLP amendments.</w:t>
      </w:r>
    </w:p>
    <w:p>
      <w:pPr>
        <w:keepNext/>
        <w:spacing w:after="40" w:before="140"/>
      </w:pPr>
      <w:r>
        <w:rPr>
          <w:rFonts w:ascii="Calibri" w:cs="Calibri" w:eastAsia="Calibri" w:hAnsi="Calibri"/>
          <w:b/>
          <w:bCs/>
          <w:color w:val="14161B"/>
          <w:sz w:val="20"/>
          <w:szCs w:val="20"/>
        </w:rPr>
        <w:t xml:space="preserve">Remuneration cannot be authorised backwards</w:t>
      </w:r>
    </w:p>
    <w:p>
      <w:pPr>
        <w:spacing w:after="60" w:line="264"/>
        <w:jc w:val="both"/>
      </w:pPr>
      <w:r>
        <w:rPr>
          <w:rFonts w:ascii="Calibri" w:cs="Calibri" w:eastAsia="Calibri" w:hAnsi="Calibri"/>
          <w:sz w:val="19"/>
          <w:szCs w:val="19"/>
        </w:rPr>
        <w:t xml:space="preserve">Remuneration to a working partner is deductible only where it is authorised by the LLP agreement and relates to a period after the date of that agreement. A supplementary agreement executed in March authorising remuneration for the year then ending does not achieve the deduction for that year. Execute before the period begins. Clause 3.3 states the constraint expressly so that it is not overlooked at signature.</w:t>
      </w:r>
    </w:p>
    <w:p>
      <w:pPr>
        <w:keepNext/>
        <w:spacing w:after="40" w:before="140"/>
      </w:pPr>
      <w:r>
        <w:rPr>
          <w:rFonts w:ascii="Calibri" w:cs="Calibri" w:eastAsia="Calibri" w:hAnsi="Calibri"/>
          <w:b/>
          <w:bCs/>
          <w:color w:val="14161B"/>
          <w:sz w:val="20"/>
          <w:szCs w:val="20"/>
        </w:rPr>
        <w:t xml:space="preserve">Profit sharing changes are prospective</w:t>
      </w:r>
    </w:p>
    <w:p>
      <w:pPr>
        <w:spacing w:after="60" w:line="264"/>
        <w:jc w:val="both"/>
      </w:pPr>
      <w:r>
        <w:rPr>
          <w:rFonts w:ascii="Calibri" w:cs="Calibri" w:eastAsia="Calibri" w:hAnsi="Calibri"/>
          <w:sz w:val="19"/>
          <w:szCs w:val="19"/>
        </w:rPr>
        <w:t xml:space="preserve">A change in profit-sharing proportions applies to profits arising on and after the effective date. Profits already earned are shared in the old proportions and the accounts must be apportioned. Partners frequently intend a change to apply to the whole year in which it is made; if that is genuinely intended, it must be effected before the year begins.</w:t>
      </w:r>
    </w:p>
    <w:p>
      <w:pPr>
        <w:keepNext/>
        <w:spacing w:after="40" w:before="140"/>
      </w:pPr>
      <w:r>
        <w:rPr>
          <w:rFonts w:ascii="Calibri" w:cs="Calibri" w:eastAsia="Calibri" w:hAnsi="Calibri"/>
          <w:b/>
          <w:bCs/>
          <w:color w:val="14161B"/>
          <w:sz w:val="20"/>
          <w:szCs w:val="20"/>
        </w:rPr>
        <w:t xml:space="preserve">Some changes need a second filing</w:t>
      </w:r>
    </w:p>
    <w:p>
      <w:pPr>
        <w:spacing w:after="60" w:line="264"/>
        <w:jc w:val="both"/>
      </w:pPr>
      <w:r>
        <w:rPr>
          <w:rFonts w:ascii="Calibri" w:cs="Calibri" w:eastAsia="Calibri" w:hAnsi="Calibri"/>
          <w:sz w:val="19"/>
          <w:szCs w:val="19"/>
        </w:rPr>
        <w:t xml:space="preserve">A change in partners, in designated partners, in the registered office or in the name each requires its own prescribed form in addition to the filing of the supplementary agreement. The table of common amendments sets out which. Filing only the agreement leaves the register partly updated, which is worse than not updating it at all because it looks complete.</w:t>
      </w:r>
    </w:p>
    <w:p>
      <w:pPr>
        <w:keepNext/>
        <w:spacing w:after="40" w:before="140"/>
      </w:pPr>
      <w:r>
        <w:rPr>
          <w:rFonts w:ascii="Calibri" w:cs="Calibri" w:eastAsia="Calibri" w:hAnsi="Calibri"/>
          <w:b/>
          <w:bCs/>
          <w:color w:val="14161B"/>
          <w:sz w:val="20"/>
          <w:szCs w:val="20"/>
        </w:rPr>
        <w:t xml:space="preserve">Late fees accrue daily</w:t>
      </w:r>
    </w:p>
    <w:p>
      <w:pPr>
        <w:spacing w:after="60" w:line="264"/>
        <w:jc w:val="both"/>
      </w:pPr>
      <w:r>
        <w:rPr>
          <w:rFonts w:ascii="Calibri" w:cs="Calibri" w:eastAsia="Calibri" w:hAnsi="Calibri"/>
          <w:sz w:val="19"/>
          <w:szCs w:val="19"/>
        </w:rPr>
        <w:t xml:space="preserve">Additional fees for late LLP filings accrue per day of delay and are not subject to the ceilings applying to companies. A supplementary agreement filed months late can cost many multiples of the original fee. Diarise the filing on the day of execution.</w:t>
      </w:r>
    </w:p>
    <w:p>
      <w:pPr>
        <w:keepNext/>
        <w:spacing w:after="40" w:before="140"/>
      </w:pPr>
      <w:r>
        <w:rPr>
          <w:rFonts w:ascii="Calibri" w:cs="Calibri" w:eastAsia="Calibri" w:hAnsi="Calibri"/>
          <w:b/>
          <w:bCs/>
          <w:color w:val="14161B"/>
          <w:sz w:val="20"/>
          <w:szCs w:val="20"/>
        </w:rPr>
        <w:t xml:space="preserve">Designated partner minimums</w:t>
      </w:r>
    </w:p>
    <w:p>
      <w:pPr>
        <w:spacing w:after="60" w:line="264"/>
        <w:jc w:val="both"/>
      </w:pPr>
      <w:r>
        <w:rPr>
          <w:rFonts w:ascii="Calibri" w:cs="Calibri" w:eastAsia="Calibri" w:hAnsi="Calibri"/>
          <w:sz w:val="19"/>
          <w:szCs w:val="19"/>
        </w:rPr>
        <w:t xml:space="preserve">After any change affecting designated partners, the LLP must still have at least two individuals as designated partners with at least one resident in India. Clause 3.4 requires the partners to confirm this. A change that breaches the requirement puts the LLP in default from the moment it takes effect.</w:t>
      </w:r>
    </w:p>
    <w:p>
      <w:pPr>
        <w:keepNext/>
        <w:spacing w:after="40" w:before="140"/>
      </w:pPr>
      <w:r>
        <w:rPr>
          <w:rFonts w:ascii="Calibri" w:cs="Calibri" w:eastAsia="Calibri" w:hAnsi="Calibri"/>
          <w:b/>
          <w:bCs/>
          <w:color w:val="14161B"/>
          <w:sz w:val="20"/>
          <w:szCs w:val="20"/>
        </w:rPr>
        <w:t xml:space="preserve">Check third-party consents</w:t>
      </w:r>
    </w:p>
    <w:p>
      <w:pPr>
        <w:spacing w:after="60" w:line="264"/>
        <w:jc w:val="both"/>
      </w:pPr>
      <w:r>
        <w:rPr>
          <w:rFonts w:ascii="Calibri" w:cs="Calibri" w:eastAsia="Calibri" w:hAnsi="Calibri"/>
          <w:sz w:val="19"/>
          <w:szCs w:val="19"/>
        </w:rPr>
        <w:t xml:space="preserve">Facility agreements, leases and material contracts frequently contain provisions triggered by a change in partners, in control, or in the nature of the business. Clause 2.4 requires the partners to confirm that no consent is needed, or to annex it. Ask the question before executing, not after a lender notices.</w:t>
      </w:r>
    </w:p>
    <w:p>
      <w:pPr>
        <w:keepNext/>
        <w:spacing w:after="40" w:before="140"/>
      </w:pPr>
      <w:r>
        <w:rPr>
          <w:rFonts w:ascii="Calibri" w:cs="Calibri" w:eastAsia="Calibri" w:hAnsi="Calibri"/>
          <w:b/>
          <w:bCs/>
          <w:color w:val="14161B"/>
          <w:sz w:val="20"/>
          <w:szCs w:val="20"/>
        </w:rPr>
        <w:t xml:space="preserve">Stamp it</w:t>
      </w:r>
    </w:p>
    <w:p>
      <w:pPr>
        <w:spacing w:after="60" w:line="264"/>
        <w:jc w:val="both"/>
      </w:pPr>
      <w:r>
        <w:rPr>
          <w:rFonts w:ascii="Calibri" w:cs="Calibri" w:eastAsia="Calibri" w:hAnsi="Calibri"/>
          <w:sz w:val="19"/>
          <w:szCs w:val="19"/>
        </w:rPr>
        <w:t xml:space="preserve">A supplementary agreement is separately stampable, and in several States duty on an LLP instrument is calculated by reference to contribution. Where the amendment increases contribution, the duty may be significant. Confirm the article and the rate in the State of execution before printing, and note the place of execution correctly.</w:t>
      </w:r>
    </w:p>
    <w:p>
      <w:pPr>
        <w:keepNext/>
        <w:spacing w:after="40" w:before="140"/>
      </w:pPr>
      <w:r>
        <w:rPr>
          <w:rFonts w:ascii="Calibri" w:cs="Calibri" w:eastAsia="Calibri" w:hAnsi="Calibri"/>
          <w:b/>
          <w:bCs/>
          <w:color w:val="14161B"/>
          <w:sz w:val="20"/>
          <w:szCs w:val="20"/>
        </w:rPr>
        <w:t xml:space="preserve">Consolidate once amendments accumulate</w:t>
      </w:r>
    </w:p>
    <w:p>
      <w:pPr>
        <w:spacing w:after="60" w:line="264"/>
        <w:jc w:val="both"/>
      </w:pPr>
      <w:r>
        <w:rPr>
          <w:rFonts w:ascii="Calibri" w:cs="Calibri" w:eastAsia="Calibri" w:hAnsi="Calibri"/>
          <w:sz w:val="19"/>
          <w:szCs w:val="19"/>
        </w:rPr>
        <w:t xml:space="preserve">After three or four supplementary agreements, reading the current position requires assembling five documents in the right order, and partners begin to disagree about what was agreed. At that point, execute and file a consolidated restated LLP agreement in place of a further supplement. It costs one more filing and removes a standing source of confusion.</w:t>
      </w:r>
    </w:p>
    <w:p>
      <w:pPr>
        <w:keepNext/>
        <w:spacing w:after="40" w:before="140"/>
      </w:pPr>
      <w:r>
        <w:rPr>
          <w:rFonts w:ascii="Calibri" w:cs="Calibri" w:eastAsia="Calibri" w:hAnsi="Calibri"/>
          <w:b/>
          <w:bCs/>
          <w:color w:val="14161B"/>
          <w:sz w:val="20"/>
          <w:szCs w:val="20"/>
        </w:rPr>
        <w:t xml:space="preserve">Keep the chain complete</w:t>
      </w:r>
    </w:p>
    <w:p>
      <w:pPr>
        <w:spacing w:after="60" w:line="264"/>
        <w:jc w:val="both"/>
      </w:pPr>
      <w:r>
        <w:rPr>
          <w:rFonts w:ascii="Calibri" w:cs="Calibri" w:eastAsia="Calibri" w:hAnsi="Calibri"/>
          <w:sz w:val="19"/>
          <w:szCs w:val="19"/>
        </w:rPr>
        <w:t xml:space="preserve">Retain every supplementary agreement with the principal agreement at the registered office, numbered in sequence, and record the sequence in the header of each new one. Diligence will ask for the complete chain, and a missing link means the current terms cannot be established.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forms, timelines, additional fee structures, stamp duty rates and the tax limits on partner remuneration all change — confirm each with a company secretary and a tax adviser before execution.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2026-08-21T12:53:54.650Z</dcterms:created>
  <dcterms:modified xsi:type="dcterms:W3CDTF">2026-08-21T12:53:54.650Z</dcterms:modified>
</cp:coreProperties>
</file>

<file path=docProps/custom.xml><?xml version="1.0" encoding="utf-8"?>
<Properties xmlns="http://schemas.openxmlformats.org/officeDocument/2006/custom-properties" xmlns:vt="http://schemas.openxmlformats.org/officeDocument/2006/docPropsVTypes"/>
</file>