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LIMITED LIABILITY PARTNERSHIP AGREEMENT</w:t>
      </w:r>
    </w:p>
    <w:p>
      <w:pPr>
        <w:spacing w:after="260"/>
        <w:jc w:val="center"/>
      </w:pPr>
      <w:r>
        <w:rPr>
          <w:rFonts w:ascii="Calibri" w:cs="Calibri" w:eastAsia="Calibri" w:hAnsi="Calibri"/>
          <w:b/>
          <w:bCs/>
          <w:i/>
          <w:iCs/>
          <w:color w:val="6E7480"/>
          <w:sz w:val="19"/>
          <w:szCs w:val="19"/>
        </w:rPr>
        <w:t xml:space="preserve">[LLP NAME]</w:t>
      </w:r>
      <w:r>
        <w:rPr>
          <w:rFonts w:ascii="Calibri" w:cs="Calibri" w:eastAsia="Calibri" w:hAnsi="Calibri"/>
          <w:i/>
          <w:iCs/>
          <w:color w:val="6E7480"/>
          <w:sz w:val="19"/>
          <w:szCs w:val="19"/>
        </w:rPr>
        <w:t xml:space="preserve"> LLP</w:t>
      </w:r>
    </w:p>
    <w:p>
      <w:pPr>
        <w:spacing w:after="180" w:before="0" w:line="276"/>
        <w:jc w:val="both"/>
      </w:pPr>
      <w:r>
        <w:rPr>
          <w:rFonts w:ascii="Calibri" w:cs="Calibri" w:eastAsia="Calibri" w:hAnsi="Calibri"/>
          <w:i/>
          <w:iCs/>
          <w:color w:val="6E7480"/>
          <w:sz w:val="21"/>
          <w:szCs w:val="21"/>
        </w:rPr>
        <w:t xml:space="preserve">File this with the Registrar within thirty days of incorporation. If you do not, the default provisions in Schedule I to the Limited Liability Partnership Act, 2008 govern the LLP instead — equal profit sharing regardless of contribution, unanimity for every decision, and no right to expel a partner. Those defaults are almost never what the partners intended.</w:t>
      </w:r>
    </w:p>
    <w:p>
      <w:pPr>
        <w:spacing w:after="140" w:before="0" w:line="276"/>
        <w:jc w:val="both"/>
      </w:pPr>
      <w:r>
        <w:rPr>
          <w:rFonts w:ascii="Calibri" w:cs="Calibri" w:eastAsia="Calibri" w:hAnsi="Calibri"/>
          <w:b/>
          <w:bCs/>
          <w:sz w:val="21"/>
          <w:szCs w:val="21"/>
        </w:rPr>
        <w:t xml:space="preserve">THIS LIMITED LIABILITY PARTNERSHIP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[PARTNER 1]</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and DPIN </w:t>
      </w:r>
      <w:r>
        <w:rPr>
          <w:rFonts w:ascii="Calibri" w:cs="Calibri" w:eastAsia="Calibri" w:hAnsi="Calibri"/>
          <w:b/>
          <w:bCs/>
          <w:sz w:val="21"/>
          <w:szCs w:val="21"/>
        </w:rPr>
        <w:t xml:space="preserve">[DPIN]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[PARTNER 2]</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DPIN]</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[PARTNER 3]</w:t>
      </w:r>
      <w:r>
        <w:rPr>
          <w:rFonts w:ascii="Calibri" w:cs="Calibri" w:eastAsia="Calibri" w:hAnsi="Calibri"/>
          <w:sz w:val="21"/>
          <w:szCs w:val="21"/>
        </w:rPr>
        <w:t xml:space="preserve">, </w:t>
      </w:r>
      <w:r>
        <w:rPr>
          <w:rFonts w:ascii="Calibri" w:cs="Calibri" w:eastAsia="Calibri" w:hAnsi="Calibri"/>
          <w:b/>
          <w:bCs/>
          <w:sz w:val="21"/>
          <w:szCs w:val="21"/>
        </w:rPr>
        <w:t xml:space="preserve">[particulars, PAN and DPIN]</w:t>
      </w:r>
      <w:r>
        <w:rPr>
          <w:rFonts w:ascii="Calibri" w:cs="Calibri" w:eastAsia="Calibri" w:hAnsi="Calibri"/>
          <w:sz w:val="21"/>
          <w:szCs w:val="21"/>
        </w:rPr>
        <w:t xml:space="preserve">,</w:t>
      </w:r>
    </w:p>
    <w:p>
      <w:pPr>
        <w:spacing w:after="140" w:before="100" w:line="276"/>
        <w:jc w:val="both"/>
      </w:pPr>
      <w:r>
        <w:rPr>
          <w:rFonts w:ascii="Calibri" w:cs="Calibri" w:eastAsia="Calibri" w:hAnsi="Calibri"/>
          <w:sz w:val="21"/>
          <w:szCs w:val="21"/>
        </w:rPr>
        <w:t xml:space="preserve">(each a "</w:t>
      </w:r>
      <w:r>
        <w:rPr>
          <w:rFonts w:ascii="Calibri" w:cs="Calibri" w:eastAsia="Calibri" w:hAnsi="Calibri"/>
          <w:b/>
          <w:bCs/>
          <w:sz w:val="21"/>
          <w:szCs w:val="21"/>
        </w:rPr>
        <w:t xml:space="preserve">Partner</w:t>
      </w:r>
      <w:r>
        <w:rPr>
          <w:rFonts w:ascii="Calibri" w:cs="Calibri" w:eastAsia="Calibri" w:hAnsi="Calibri"/>
          <w:sz w:val="21"/>
          <w:szCs w:val="21"/>
        </w:rPr>
        <w:t xml:space="preserve">" and together the "</w:t>
      </w:r>
      <w:r>
        <w:rPr>
          <w:rFonts w:ascii="Calibri" w:cs="Calibri" w:eastAsia="Calibri" w:hAnsi="Calibri"/>
          <w:b/>
          <w:bCs/>
          <w:sz w:val="21"/>
          <w:szCs w:val="21"/>
        </w:rPr>
        <w:t xml:space="preserve">Partners</w:t>
      </w:r>
      <w:r>
        <w:rPr>
          <w:rFonts w:ascii="Calibri" w:cs="Calibri" w:eastAsia="Calibri" w:hAnsi="Calibri"/>
          <w:sz w:val="21"/>
          <w:szCs w:val="21"/>
        </w:rPr>
        <w:t xml:space="preserve">"), and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r>
        <w:rPr>
          <w:rFonts w:ascii="Calibri" w:cs="Calibri" w:eastAsia="Calibri" w:hAnsi="Calibri"/>
          <w:sz w:val="21"/>
          <w:szCs w:val="21"/>
        </w:rPr>
        <w:t xml:space="preserve">, a limited liability partnership incorporated under the Limited Liability Partnership Act, 2008 bearing LLPIN </w:t>
      </w:r>
      <w:r>
        <w:rPr>
          <w:rFonts w:ascii="Calibri" w:cs="Calibri" w:eastAsia="Calibri" w:hAnsi="Calibri"/>
          <w:b/>
          <w:bCs/>
          <w:sz w:val="21"/>
          <w:szCs w:val="21"/>
        </w:rPr>
        <w:t xml:space="preserve">[LLPIN]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LLP</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LLP was incorporated on </w:t>
      </w:r>
      <w:r>
        <w:rPr>
          <w:rFonts w:ascii="Calibri" w:cs="Calibri" w:eastAsia="Calibri" w:hAnsi="Calibri"/>
          <w:b/>
          <w:bCs/>
          <w:sz w:val="21"/>
          <w:szCs w:val="21"/>
        </w:rPr>
        <w:t xml:space="preserve">[DATE]</w:t>
      </w:r>
      <w:r>
        <w:rPr>
          <w:rFonts w:ascii="Calibri" w:cs="Calibri" w:eastAsia="Calibri" w:hAnsi="Calibri"/>
          <w:sz w:val="21"/>
          <w:szCs w:val="21"/>
        </w:rPr>
        <w:t xml:space="preserve"> under the Limited Liability Partnership Act, 2008 (the "</w:t>
      </w:r>
      <w:r>
        <w:rPr>
          <w:rFonts w:ascii="Calibri" w:cs="Calibri" w:eastAsia="Calibri" w:hAnsi="Calibri"/>
          <w:b/>
          <w:bCs/>
          <w:sz w:val="21"/>
          <w:szCs w:val="21"/>
        </w:rPr>
        <w:t xml:space="preserve">Act</w:t>
      </w:r>
      <w:r>
        <w:rPr>
          <w:rFonts w:ascii="Calibri" w:cs="Calibri" w:eastAsia="Calibri" w:hAnsi="Calibri"/>
          <w:sz w:val="21"/>
          <w:szCs w:val="21"/>
        </w:rPr>
        <w:t xml:space="preserve">") with the Partners as its partners.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Partners wish to record the mutual rights and duties of the Partners and of the Partners and the LLP, in substitution for the provisions of Schedule I to the Act.</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Partners agree as follows:</w:t>
      </w:r>
    </w:p>
    <w:p>
      <w:pPr>
        <w:keepNext/>
        <w:spacing w:after="120" w:before="280"/>
        <w:outlineLvl w:val="0"/>
      </w:pPr>
      <w:r>
        <w:rPr>
          <w:rFonts w:ascii="Calibri" w:cs="Calibri" w:eastAsia="Calibri" w:hAnsi="Calibri"/>
          <w:b/>
          <w:bCs/>
          <w:color w:val="14161B"/>
          <w:sz w:val="22"/>
          <w:szCs w:val="22"/>
        </w:rPr>
        <w:t xml:space="preserve">1. NAME, BUSINESS AND OFFICE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LLP shall carry on business under the name and style of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r>
        <w:rPr>
          <w:rFonts w:ascii="Calibri" w:cs="Calibri" w:eastAsia="Calibri" w:hAnsi="Calibri"/>
          <w:sz w:val="21"/>
          <w:szCs w:val="21"/>
        </w:rPr>
        <w:t xml:space="preserve">, or such other name as the Partners may agree and the Registrar may approve.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business of the LLP is </w:t>
      </w:r>
      <w:r>
        <w:rPr>
          <w:rFonts w:ascii="Calibri" w:cs="Calibri" w:eastAsia="Calibri" w:hAnsi="Calibri"/>
          <w:b/>
          <w:bCs/>
          <w:sz w:val="21"/>
          <w:szCs w:val="21"/>
        </w:rPr>
        <w:t xml:space="preserve">[DESCRIBE THE BUSINESS PRECISELY]</w:t>
      </w:r>
      <w:r>
        <w:rPr>
          <w:rFonts w:ascii="Calibri" w:cs="Calibri" w:eastAsia="Calibri" w:hAnsi="Calibri"/>
          <w:sz w:val="21"/>
          <w:szCs w:val="21"/>
        </w:rPr>
        <w:t xml:space="preserve">, and such other business as the Partners may unanimously agree, being any lawful business, trade, profession, service or occupation.</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registered office of the LLP is at </w:t>
      </w:r>
      <w:r>
        <w:rPr>
          <w:rFonts w:ascii="Calibri" w:cs="Calibri" w:eastAsia="Calibri" w:hAnsi="Calibri"/>
          <w:b/>
          <w:bCs/>
          <w:sz w:val="21"/>
          <w:szCs w:val="21"/>
        </w:rPr>
        <w:t xml:space="preserve">[ADDRESS]</w:t>
      </w:r>
      <w:r>
        <w:rPr>
          <w:rFonts w:ascii="Calibri" w:cs="Calibri" w:eastAsia="Calibri" w:hAnsi="Calibri"/>
          <w:sz w:val="21"/>
          <w:szCs w:val="21"/>
        </w:rPr>
        <w:t xml:space="preserve">. It may be changed by a decision of the Partners and on filing the prescribed form with the Registrar. The LLP may carry on business at such other places as the Partners decide.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LLP is a body corporate with perpetual succession, distinct from its Partners. A change in the Partners shall not affect the existence, rights or liabilities of the LLP.</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financial year of the LLP shall end on </w:t>
      </w:r>
      <w:r>
        <w:rPr>
          <w:rFonts w:ascii="Calibri" w:cs="Calibri" w:eastAsia="Calibri" w:hAnsi="Calibri"/>
          <w:b/>
          <w:bCs/>
          <w:sz w:val="21"/>
          <w:szCs w:val="21"/>
        </w:rPr>
        <w:t xml:space="preserve">[31 March]</w:t>
      </w:r>
      <w:r>
        <w:rPr>
          <w:rFonts w:ascii="Calibri" w:cs="Calibri" w:eastAsia="Calibri" w:hAnsi="Calibri"/>
          <w:sz w:val="21"/>
          <w:szCs w:val="21"/>
        </w:rPr>
        <w:t xml:space="preserve"> in each year.</w:t>
      </w:r>
    </w:p>
    <w:p>
      <w:pPr>
        <w:keepNext/>
        <w:spacing w:after="120" w:before="280"/>
        <w:outlineLvl w:val="0"/>
      </w:pPr>
      <w:r>
        <w:rPr>
          <w:rFonts w:ascii="Calibri" w:cs="Calibri" w:eastAsia="Calibri" w:hAnsi="Calibri"/>
          <w:b/>
          <w:bCs/>
          <w:color w:val="14161B"/>
          <w:sz w:val="22"/>
          <w:szCs w:val="22"/>
        </w:rPr>
        <w:t xml:space="preserve">2. CONTRIBUTION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Partners shall contribute to the LLP the amounts set out in Schedule 1, in cash or in kind as stated, by the dates stated. The contribution of each Partner shall be recorded in the books of account of the LLP and disclosed in its accounts.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 contribution in kind shall be valued by a practising chartered accountant, cost accountant or approved valuer, and the valuation report shall be retained with the books of account.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No Partner shall withdraw any part of its contribution without the written consent of all the Partners. A Partner who fails to make a contribution by the date stated shall, unless the other Partners agree otherwise in writing, have its profit share adjusted proportionately, and the other Partners may make good the shortfall.</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Any further contribution required shall be called for by a decision of the Partners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contribution, and shall be made by the Partners in proportion to their existing contributions unless otherwise agreed. A Partner is not obliged to contribute further, but a Partner who does not contribute when others do shall have its profit share adjusted proportionately.</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Interest shall </w:t>
      </w:r>
      <w:r>
        <w:rPr>
          <w:rFonts w:ascii="Calibri" w:cs="Calibri" w:eastAsia="Calibri" w:hAnsi="Calibri"/>
          <w:b/>
          <w:bCs/>
          <w:sz w:val="21"/>
          <w:szCs w:val="21"/>
        </w:rPr>
        <w:t xml:space="preserve">[not be payable on contribution / be payable on contribution at the rate of ______ per cent per annum, not exceeding the rate up to which interest is deductible in computing the income of the LLP]</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Any amount advanced by a Partner beyond its contribution shall be treated as a loan to the LLP, shall carry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and shall be repayable as the Partners decide. No such loan shall be made without the prior written agreement of the Partners.</w:t>
      </w:r>
    </w:p>
    <w:p>
      <w:pPr>
        <w:keepNext/>
        <w:spacing w:after="120" w:before="280"/>
        <w:outlineLvl w:val="0"/>
      </w:pPr>
      <w:r>
        <w:rPr>
          <w:rFonts w:ascii="Calibri" w:cs="Calibri" w:eastAsia="Calibri" w:hAnsi="Calibri"/>
          <w:b/>
          <w:bCs/>
          <w:color w:val="14161B"/>
          <w:sz w:val="22"/>
          <w:szCs w:val="22"/>
        </w:rPr>
        <w:t xml:space="preserve">3. PROFIT AND LOSS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profits and losses of the LLP shall be shared among the Partners in the proportions set out in Schedule 1, after providing for remuneration and interest payable to the Partners under Clause 4.</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profit-sharing proportions may be varied only by a supplementary agreement signed by all the Partners and filed with the Registrar within the period prescribed.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Profits shall be distributed among the Partners at such intervals as the Partners decide, after retaining such amounts as the Partners consider necessary for the working capital, commitments and reserves of the LLP.</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Losses shall be borne by the Partners in the same proportions, and shall be debited to their respective capital accounts. No Partner shall be required to make good a loss beyond its contribution and its share of undistributed profits, save in the case of fraud or of an act done by that Partner with intent to defraud a creditor.</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Separate capital and current accounts shall be maintained for each Partner. Contributions and withdrawals of contribution shall be recorded in the capital account, and remuneration, interest, profit share and drawings in the current account.</w:t>
      </w:r>
    </w:p>
    <w:p>
      <w:pPr>
        <w:keepNext/>
        <w:spacing w:after="120" w:before="280"/>
        <w:outlineLvl w:val="0"/>
      </w:pPr>
      <w:r>
        <w:rPr>
          <w:rFonts w:ascii="Calibri" w:cs="Calibri" w:eastAsia="Calibri" w:hAnsi="Calibri"/>
          <w:b/>
          <w:bCs/>
          <w:color w:val="14161B"/>
          <w:sz w:val="22"/>
          <w:szCs w:val="22"/>
        </w:rPr>
        <w:t xml:space="preserve">4. REMUNERATION, INTEREST AND DRAWINGS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Partners named in Schedule 2 are working partners and shall be entitled to remuneration for their services, calculated in the manner set out in that Schedule.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aggregate remuneration payable to the working partners in any financial year shall not exceed the amount deductible in computing the income of the LLP under the applicable provisions of the income-tax law then in force, and shall be authorised by this Agreement or by a supplementary agreement in force for the period to which it relates. </w:t>
      </w:r>
      <w:r>
        <w:rPr>
          <w:rFonts w:ascii="Calibri" w:cs="Calibri" w:eastAsia="Calibri" w:hAnsi="Calibri"/>
          <w:i/>
          <w:iCs/>
          <w:sz w:val="21"/>
          <w:szCs w:val="21"/>
        </w:rPr>
        <w:t xml:space="preserve">(Remuneration is deductible only if it is authorised by, and is in accordance with, the terms of the LLP agreement, and only in respect of a period after the date of that agreement. Retrospective authorisation does not work — see the notes.)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Remuneration shall be paid monthly in arrears, and shall be debited to the profit and loss account of the LLP before arriving at the divisible profit.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Each Partner may draw against its anticipated share of profits such amounts as the Partners agree. Where the drawings of a Partner in a financial year exceed its share of profit for that year, the excess shall be repaid to the LLP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accounts being finalised, or shall carry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until repaid.</w:t>
      </w:r>
    </w:p>
    <w:p>
      <w:pPr>
        <w:keepNext/>
        <w:spacing w:after="120" w:before="280"/>
        <w:outlineLvl w:val="0"/>
      </w:pPr>
      <w:r>
        <w:rPr>
          <w:rFonts w:ascii="Calibri" w:cs="Calibri" w:eastAsia="Calibri" w:hAnsi="Calibri"/>
          <w:b/>
          <w:bCs/>
          <w:color w:val="14161B"/>
          <w:sz w:val="22"/>
          <w:szCs w:val="22"/>
        </w:rPr>
        <w:t xml:space="preserve">5. DESIGNATED PARTNERS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[NAME]</w:t>
      </w:r>
      <w:r>
        <w:rPr>
          <w:rFonts w:ascii="Calibri" w:cs="Calibri" w:eastAsia="Calibri" w:hAnsi="Calibri"/>
          <w:sz w:val="21"/>
          <w:szCs w:val="21"/>
        </w:rPr>
        <w:t xml:space="preserve"> (DPIN </w:t>
      </w:r>
      <w:r>
        <w:rPr>
          <w:rFonts w:ascii="Calibri" w:cs="Calibri" w:eastAsia="Calibri" w:hAnsi="Calibri"/>
          <w:b/>
          <w:bCs/>
          <w:sz w:val="21"/>
          <w:szCs w:val="21"/>
        </w:rPr>
        <w:t xml:space="preserve">[DPIN]</w:t>
      </w:r>
      <w:r>
        <w:rPr>
          <w:rFonts w:ascii="Calibri" w:cs="Calibri" w:eastAsia="Calibri" w:hAnsi="Calibri"/>
          <w:sz w:val="21"/>
          <w:szCs w:val="21"/>
        </w:rPr>
        <w:t xml:space="preserve">) and </w:t>
      </w:r>
      <w:r>
        <w:rPr>
          <w:rFonts w:ascii="Calibri" w:cs="Calibri" w:eastAsia="Calibri" w:hAnsi="Calibri"/>
          <w:b/>
          <w:bCs/>
          <w:sz w:val="21"/>
          <w:szCs w:val="21"/>
        </w:rPr>
        <w:t xml:space="preserve">[NAME]</w:t>
      </w:r>
      <w:r>
        <w:rPr>
          <w:rFonts w:ascii="Calibri" w:cs="Calibri" w:eastAsia="Calibri" w:hAnsi="Calibri"/>
          <w:sz w:val="21"/>
          <w:szCs w:val="21"/>
        </w:rPr>
        <w:t xml:space="preserve"> (DPIN </w:t>
      </w:r>
      <w:r>
        <w:rPr>
          <w:rFonts w:ascii="Calibri" w:cs="Calibri" w:eastAsia="Calibri" w:hAnsi="Calibri"/>
          <w:b/>
          <w:bCs/>
          <w:sz w:val="21"/>
          <w:szCs w:val="21"/>
        </w:rPr>
        <w:t xml:space="preserve">[DPIN]</w:t>
      </w:r>
      <w:r>
        <w:rPr>
          <w:rFonts w:ascii="Calibri" w:cs="Calibri" w:eastAsia="Calibri" w:hAnsi="Calibri"/>
          <w:sz w:val="21"/>
          <w:szCs w:val="21"/>
        </w:rPr>
        <w:t xml:space="preserve">) are the designated partners of the LLP. At least two designated partners shall be individuals, and at least one of them shall be a person resident in India as required by the Act.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designated partner may be appointed, removed or replaced by a decision of the Partners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contribution, and the prescribed form shall be filed with the Registrar within the period prescribed.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designated partners are responsible for doing all acts, matters and things required to be done by the LLP under the Act, including the filing of documents and returns, and are liable to the penalties imposed on the LLP for contravention of those provisions. The LLP shall indemnify each designated partner against liability incurred in the proper discharge of that role, other than liability arising from that person’s own fraud, wilful default or gross negligence.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Where a designated partner ceases to hold that position and the number falls below the statutory minimum, the Partners shall appoint a replacement within the period prescribed.</w:t>
      </w:r>
    </w:p>
    <w:p>
      <w:pPr>
        <w:keepNext/>
        <w:spacing w:after="120" w:before="280"/>
        <w:outlineLvl w:val="0"/>
      </w:pPr>
      <w:r>
        <w:rPr>
          <w:rFonts w:ascii="Calibri" w:cs="Calibri" w:eastAsia="Calibri" w:hAnsi="Calibri"/>
          <w:b/>
          <w:bCs/>
          <w:color w:val="14161B"/>
          <w:sz w:val="22"/>
          <w:szCs w:val="22"/>
        </w:rPr>
        <w:t xml:space="preserve">6. MANAGEMENT AND DECISIONS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Every Partner shall be an agent of the LLP but not of the other Partners. No Partner shall bind the LLP in a matter outside the ordinary course of its business without the authority of the Partners.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day-to-day management of the LLP shall be conducted by the Partners named in Schedule 2, in accordance with the responsibilities allocated in that Schedule.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Ordinary decisions shall be taken by the Partners holding a majority of the contribution. The following require the written consent of </w:t>
      </w:r>
      <w:r>
        <w:rPr>
          <w:rFonts w:ascii="Calibri" w:cs="Calibri" w:eastAsia="Calibri" w:hAnsi="Calibri"/>
          <w:b/>
          <w:bCs/>
          <w:sz w:val="21"/>
          <w:szCs w:val="21"/>
        </w:rPr>
        <w:t xml:space="preserve">all</w:t>
      </w:r>
      <w:r>
        <w:rPr>
          <w:rFonts w:ascii="Calibri" w:cs="Calibri" w:eastAsia="Calibri" w:hAnsi="Calibri"/>
          <w:sz w:val="21"/>
          <w:szCs w:val="21"/>
        </w:rPr>
        <w:t xml:space="preserve"> the Partners: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change in the nature of the business of the LLP;</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admission of a new partner, or any change in the profit-sharing proportions or contributions;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amendment to this Agreement;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borrowing of money, the giving of any guarantee, or the creation of any charge over the assets of the LLP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sale, lease, licence or disposal of any material asset or intellectual property of the LLP, or of its business or undertaking;</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any capital expenditure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 not provided for in the approved budget;</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commencement or settlement of any litigation or arbitration involving more than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the appointment or removal of the auditors, or any change in the accounting policies or the financial year;</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any transaction with a Partner or a relative or affiliate of a Partner;</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the conversion, merger, amalgamation or winding up of the LLP; and</w:t>
      </w:r>
    </w:p>
    <w:p>
      <w:pPr>
        <w:spacing w:after="100" w:before="40" w:line="276"/>
        <w:ind w:left="1440" w:hanging="720"/>
        <w:jc w:val="both"/>
      </w:pPr>
      <w:r>
        <w:rPr>
          <w:rFonts w:ascii="Calibri" w:cs="Calibri" w:eastAsia="Calibri" w:hAnsi="Calibri"/>
          <w:sz w:val="21"/>
          <w:szCs w:val="21"/>
        </w:rPr>
        <w:t xml:space="preserve">(k)	</w:t>
      </w:r>
      <w:r>
        <w:rPr>
          <w:rFonts w:ascii="Calibri" w:cs="Calibri" w:eastAsia="Calibri" w:hAnsi="Calibri"/>
          <w:sz w:val="21"/>
          <w:szCs w:val="21"/>
        </w:rPr>
        <w:t xml:space="preserve">the opening or closing of any bank account, or any change in the mandate for its operation.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Partners shall meet not less than once in each </w:t>
      </w:r>
      <w:r>
        <w:rPr>
          <w:rFonts w:ascii="Calibri" w:cs="Calibri" w:eastAsia="Calibri" w:hAnsi="Calibri"/>
          <w:b/>
          <w:bCs/>
          <w:sz w:val="21"/>
          <w:szCs w:val="21"/>
        </w:rPr>
        <w:t xml:space="preserve">[quarter]</w:t>
      </w:r>
      <w:r>
        <w:rPr>
          <w:rFonts w:ascii="Calibri" w:cs="Calibri" w:eastAsia="Calibri" w:hAnsi="Calibri"/>
          <w:sz w:val="21"/>
          <w:szCs w:val="21"/>
        </w:rPr>
        <w:t xml:space="preserve">. Not less than </w:t>
      </w:r>
      <w:r>
        <w:rPr>
          <w:rFonts w:ascii="Calibri" w:cs="Calibri" w:eastAsia="Calibri" w:hAnsi="Calibri"/>
          <w:b/>
          <w:bCs/>
          <w:sz w:val="21"/>
          <w:szCs w:val="21"/>
        </w:rPr>
        <w:t xml:space="preserve">[7]</w:t>
      </w:r>
      <w:r>
        <w:rPr>
          <w:rFonts w:ascii="Calibri" w:cs="Calibri" w:eastAsia="Calibri" w:hAnsi="Calibri"/>
          <w:sz w:val="21"/>
          <w:szCs w:val="21"/>
        </w:rPr>
        <w:t xml:space="preserve"> days’ notice shall be given, unless waived by all the Partners. Partners may participate by audio-visual means. Minutes of every meeting shall be recorded in a minute book maintained at the registered office and signed by the Partners present, and shall be entered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A decision may be taken by circulation, evidenced in writing and signed or confirmed by email by the requisite Partners, and shall be recorded in the minute book at the next meeting.</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DUTIES OF THE PARTNERS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Partner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act in good faith towards the LLP and the other Partners, and in the best interests of the LLP;</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render true accounts and full information of all things affecting the LLP to any Partner or its legal representative;</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devote such time and attention to the business of the LLP as is set out against that Partner’s name in Schedule 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not carry on, or hold any interest in, any business competing with the business of the LLP without the written consent of the other Partners, and account to the LLP for any profit derived from any transaction of the LLP or from the use of its property, name or business connection;</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keep confidential all information relating to the LLP and its business, during the partnership and after ceasing to be a Partner, without limit of time;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assign to the LLP all intellectual property created by that Partner in connection with the business of the LLP, and execute such further documents as may be required to perfect that assignment;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not, without the written consent of the other Partners, lend money or property of the LLP to any person, stand surety for any person, or compromise any claim due to the LLP.</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 Partner shall indemnify the LLP and the other Partners against any loss caused by that Partner’s fraud, wilful default or gross negligence, or by any act done in breach of this Agreement.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No Partner shall be liable for the wrongful act or omission of another Partner, and the liability of a Partner is limited as provided in the Act, save that a Partner remains personally liable for that Partner’s own wrongful act or omission.</w:t>
      </w:r>
    </w:p>
    <w:p>
      <w:pPr>
        <w:keepNext/>
        <w:spacing w:after="120" w:before="280"/>
        <w:outlineLvl w:val="0"/>
      </w:pPr>
      <w:r>
        <w:rPr>
          <w:rFonts w:ascii="Calibri" w:cs="Calibri" w:eastAsia="Calibri" w:hAnsi="Calibri"/>
          <w:b/>
          <w:bCs/>
          <w:color w:val="14161B"/>
          <w:sz w:val="22"/>
          <w:szCs w:val="22"/>
        </w:rPr>
        <w:t xml:space="preserve">8. ACCOUNTS, AUDIT AND RECORDS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LLP shall maintain proper books of account on an accrual basis and according to the double entry system, at its registered office, in respect of each financial year.</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A statement of account and solvency shall be prepared within the period prescribed after the end of each financial year, signed by the designated partners, and filed with the Registrar. The annual return shall be filed within the period prescribed.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accounts of the LLP shall be audited in accordance with the Act and the rules made under it. </w:t>
      </w:r>
      <w:r>
        <w:rPr>
          <w:rFonts w:ascii="Calibri" w:cs="Calibri" w:eastAsia="Calibri" w:hAnsi="Calibri"/>
          <w:b/>
          <w:bCs/>
          <w:sz w:val="21"/>
          <w:szCs w:val="21"/>
        </w:rPr>
        <w:t xml:space="preserve">[The LLP is presently below the turnover and contribution thresholds above which audit is mandatory, and the Partners have resolved that the accounts shall nonetheless be audited by ______. / The accounts shall be audited by ______, Chartered Accountants.]</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Every Partner shall have the right, at any time, to inspect and take copies of the books of account and records of the LLP.</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LLP shall comply with all applicable tax, goods and services tax, labour and data-protection legislation, and shall make all filings within the prescribed time.</w:t>
      </w:r>
    </w:p>
    <w:p>
      <w:pPr>
        <w:keepNext/>
        <w:spacing w:after="120" w:before="280"/>
        <w:outlineLvl w:val="0"/>
      </w:pPr>
      <w:r>
        <w:rPr>
          <w:rFonts w:ascii="Calibri" w:cs="Calibri" w:eastAsia="Calibri" w:hAnsi="Calibri"/>
          <w:b/>
          <w:bCs/>
          <w:color w:val="14161B"/>
          <w:sz w:val="22"/>
          <w:szCs w:val="22"/>
        </w:rPr>
        <w:t xml:space="preserve">9. ADMISSION, CESSATION AND TRANSFER</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A person may be admitted as a Partner only with the written consent of all the Partners, and on executing a supplementary agreement agreeing to be bound by this Agreement. The prescribed form shall be filed with the Registrar within the period prescribed.</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A Partner may retire by giving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to the other Partners, or on such shorter notice as the Partners agree.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A Partner shall cease to be a Partner on death, on being declared of unsound mind, on being adjudged an insolvent, on retirement in accordance with Clause 9.2, or on expulsion under Clause 9.4.</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b/>
          <w:bCs/>
          <w:sz w:val="21"/>
          <w:szCs w:val="21"/>
        </w:rPr>
        <w:t xml:space="preserve">Expulsion.</w:t>
      </w:r>
      <w:r>
        <w:rPr>
          <w:rFonts w:ascii="Calibri" w:cs="Calibri" w:eastAsia="Calibri" w:hAnsi="Calibri"/>
          <w:sz w:val="21"/>
          <w:szCs w:val="21"/>
        </w:rPr>
        <w:t xml:space="preserve"> A Partner may be expelled by written notice given by Partners holding not less than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contribution, excluding the contribution of the Partner concerned, where that Partner: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commits a material breach of this Agreement and fails to remedy it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is guilty of fraud, dishonesty, wilful misconduct or gross negligence in relation to the business of the LLP;</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convicted of an offence involving moral turpitude;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becomes permanently incapable of performing that Partner’s duties; 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does anything that brings the LLP into disrepute or renders it unlawful for the business to continue with that Partner.</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The power of expulsion shall be exercised in good faith and only after the Partner concerned has been given written notice of the grounds and a reasonable opportunity to respond. </w:t>
      </w:r>
      <w:r>
        <w:rPr>
          <w:rFonts w:ascii="Calibri" w:cs="Calibri" w:eastAsia="Calibri" w:hAnsi="Calibri"/>
          <w:i/>
          <w:iCs/>
          <w:sz w:val="21"/>
          <w:szCs w:val="21"/>
        </w:rPr>
        <w:t xml:space="preserve">(A power of expulsion exists only if the LLP agreement confers it. Schedule I to the Act contains none.)</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Settlement of accounts on cessation.</w:t>
      </w:r>
      <w:r>
        <w:rPr>
          <w:rFonts w:ascii="Calibri" w:cs="Calibri" w:eastAsia="Calibri" w:hAnsi="Calibri"/>
          <w:sz w:val="21"/>
          <w:szCs w:val="21"/>
        </w:rPr>
        <w:t xml:space="preserve"> A Partner who ceases to be a Partner, or that Partner’s legal representative, shall be entitled to receive from the LLP:</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amount of that Partner’s contribution actually made and not previously withdrawn;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that Partner’s share of the accumulated profits, after deducting accumulated losses, determined as at the date of cessation;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amount standing to the credit of that Partner’s current account,</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in each case as determined by the accounts drawn up as at the date of cessation, less any amount owed by that Partner to the LLP and any loss caused by that Partner’s breach of this Agreement. Payment shall be made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accounts being finalised, or in </w:t>
      </w:r>
      <w:r>
        <w:rPr>
          <w:rFonts w:ascii="Calibri" w:cs="Calibri" w:eastAsia="Calibri" w:hAnsi="Calibri"/>
          <w:b/>
          <w:bCs/>
          <w:sz w:val="21"/>
          <w:szCs w:val="21"/>
        </w:rPr>
        <w:t xml:space="preserve">[NUMBER]</w:t>
      </w:r>
      <w:r>
        <w:rPr>
          <w:rFonts w:ascii="Calibri" w:cs="Calibri" w:eastAsia="Calibri" w:hAnsi="Calibri"/>
          <w:sz w:val="21"/>
          <w:szCs w:val="21"/>
        </w:rPr>
        <w:t xml:space="preserve"> equal instalments as the Partners decide, and shall carry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until paid.</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sz w:val="21"/>
          <w:szCs w:val="21"/>
        </w:rPr>
        <w:t xml:space="preserve">A former Partner shall have no right to interfere in the management of the LLP, no right to a share of profits arising after cessation, and no entitlement to the goodwill of the LLP unless the Partners expressly agree otherwise. </w:t>
      </w:r>
      <w:r>
        <w:rPr>
          <w:rFonts w:ascii="Calibri" w:cs="Calibri" w:eastAsia="Calibri" w:hAnsi="Calibri"/>
          <w:i/>
          <w:iCs/>
          <w:sz w:val="21"/>
          <w:szCs w:val="21"/>
        </w:rPr>
        <w:t xml:space="preserve">(Whether a departing partner is paid for goodwill is a commercial decision — specify.)</w:t>
      </w:r>
    </w:p>
    <w:p>
      <w:pPr>
        <w:spacing w:after="120" w:before="60" w:line="276"/>
        <w:ind w:left="720" w:hanging="720"/>
        <w:jc w:val="both"/>
      </w:pPr>
      <w:r>
        <w:rPr>
          <w:rFonts w:ascii="Calibri" w:cs="Calibri" w:eastAsia="Calibri" w:hAnsi="Calibri"/>
          <w:sz w:val="21"/>
          <w:szCs w:val="21"/>
        </w:rPr>
        <w:t xml:space="preserve">9.7	</w:t>
      </w:r>
      <w:r>
        <w:rPr>
          <w:rFonts w:ascii="Calibri" w:cs="Calibri" w:eastAsia="Calibri" w:hAnsi="Calibri"/>
          <w:sz w:val="21"/>
          <w:szCs w:val="21"/>
        </w:rPr>
        <w:t xml:space="preserve">A Partner may transfer the right to receive its share of profits and losses, in whole or in part, but such a transfer does not by itself cause the Partner to cease to be a Partner, does not entitle the transferee to participate in management or to access information, and does not make the transferee a Partner. No transferee shall be admitted as a Partner except under Clause 9.1.</w:t>
      </w:r>
    </w:p>
    <w:p>
      <w:pPr>
        <w:spacing w:after="120" w:before="60" w:line="276"/>
        <w:ind w:left="720" w:hanging="720"/>
        <w:jc w:val="both"/>
      </w:pPr>
      <w:r>
        <w:rPr>
          <w:rFonts w:ascii="Calibri" w:cs="Calibri" w:eastAsia="Calibri" w:hAnsi="Calibri"/>
          <w:sz w:val="21"/>
          <w:szCs w:val="21"/>
        </w:rPr>
        <w:t xml:space="preserve">9.8	</w:t>
      </w:r>
      <w:r>
        <w:rPr>
          <w:rFonts w:ascii="Calibri" w:cs="Calibri" w:eastAsia="Calibri" w:hAnsi="Calibri"/>
          <w:sz w:val="21"/>
          <w:szCs w:val="21"/>
        </w:rPr>
        <w:t xml:space="preserve">On the death of a Partner, the legal representatives shall be entitled to the amounts under Clause 9.5 but shall not be entitled to be admitted as a Partner unless all the surviving Partners agree.</w:t>
      </w:r>
    </w:p>
    <w:p>
      <w:pPr>
        <w:keepNext/>
        <w:spacing w:after="120" w:before="280"/>
        <w:outlineLvl w:val="0"/>
      </w:pPr>
      <w:r>
        <w:rPr>
          <w:rFonts w:ascii="Calibri" w:cs="Calibri" w:eastAsia="Calibri" w:hAnsi="Calibri"/>
          <w:b/>
          <w:bCs/>
          <w:color w:val="14161B"/>
          <w:sz w:val="22"/>
          <w:szCs w:val="22"/>
        </w:rPr>
        <w:t xml:space="preserve">10. RESTRICTIONS ON A FORMER PARTNER</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A former Partner shall keep confidential all information of the LLP without limit of time, shall return all property and records of the LLP, and shall not represent itself as connected with the LLP.</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cessation, a former Partner shall not solicit or entice away any employee, client, customer or supplier of the LLP with whom that Partner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cessation.</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i/>
          <w:iCs/>
          <w:sz w:val="21"/>
          <w:szCs w:val="21"/>
        </w:rPr>
        <w:t xml:space="preserve">No restraint is imposed on a former Partner carrying on a competing business after cessation, because Section 27 of the Indian Contract Act, 1872 renders agreements in restraint of trade void, subject only to the exception for the sale of goodwill. The protections that are enforceable — confidentiality, non-solicitation, the assignment of intellectual property, and the duty not to compete during the partnership — are set out in Clauses 7.1 and 10.1 to 10.2.</w:t>
      </w:r>
    </w:p>
    <w:p>
      <w:pPr>
        <w:keepNext/>
        <w:spacing w:after="120" w:before="280"/>
        <w:outlineLvl w:val="0"/>
      </w:pPr>
      <w:r>
        <w:rPr>
          <w:rFonts w:ascii="Calibri" w:cs="Calibri" w:eastAsia="Calibri" w:hAnsi="Calibri"/>
          <w:b/>
          <w:bCs/>
          <w:color w:val="14161B"/>
          <w:sz w:val="22"/>
          <w:szCs w:val="22"/>
        </w:rPr>
        <w:t xml:space="preserve">11. DISPUTE RESOLUTION</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Partners shall attempt in good faith to resolve any dispute by discussion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 of the dispute.</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Any dispute not so resolved shall be referred to and finally resolved by arbitration under the Arbitration and Conciliation Act, 1996 before a sole arbitrator appointed by agreement, seated at </w:t>
      </w:r>
      <w:r>
        <w:rPr>
          <w:rFonts w:ascii="Calibri" w:cs="Calibri" w:eastAsia="Calibri" w:hAnsi="Calibri"/>
          <w:b/>
          <w:bCs/>
          <w:sz w:val="21"/>
          <w:szCs w:val="21"/>
        </w:rPr>
        <w:t xml:space="preserve">[CITY]</w:t>
      </w:r>
      <w:r>
        <w:rPr>
          <w:rFonts w:ascii="Calibri" w:cs="Calibri" w:eastAsia="Calibri" w:hAnsi="Calibri"/>
          <w:sz w:val="21"/>
          <w:szCs w:val="21"/>
        </w:rPr>
        <w:t xml:space="preserve">, in the English language. The award shall be final and binding.</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exclusive jurisdiction in respect of interim relief and any proceeding under that Act.</w:t>
      </w:r>
    </w:p>
    <w:p>
      <w:pPr>
        <w:keepNext/>
        <w:spacing w:after="120" w:before="280"/>
        <w:outlineLvl w:val="0"/>
      </w:pPr>
      <w:r>
        <w:rPr>
          <w:rFonts w:ascii="Calibri" w:cs="Calibri" w:eastAsia="Calibri" w:hAnsi="Calibri"/>
          <w:b/>
          <w:bCs/>
          <w:color w:val="14161B"/>
          <w:sz w:val="22"/>
          <w:szCs w:val="22"/>
        </w:rPr>
        <w:t xml:space="preserve">12. WINDING UP</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The LLP may be wound up voluntarily by a decision of the Partners holding not less than </w:t>
      </w:r>
      <w:r>
        <w:rPr>
          <w:rFonts w:ascii="Calibri" w:cs="Calibri" w:eastAsia="Calibri" w:hAnsi="Calibri"/>
          <w:b/>
          <w:bCs/>
          <w:sz w:val="21"/>
          <w:szCs w:val="21"/>
        </w:rPr>
        <w:t xml:space="preserve">[three-fourths]</w:t>
      </w:r>
      <w:r>
        <w:rPr>
          <w:rFonts w:ascii="Calibri" w:cs="Calibri" w:eastAsia="Calibri" w:hAnsi="Calibri"/>
          <w:sz w:val="21"/>
          <w:szCs w:val="21"/>
        </w:rPr>
        <w:t xml:space="preserve"> of the contribution, subject to the Act and the rules made under it.</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On winding up, the assets of the LLP shall be applied first in paying the debts and liabilities of the LLP and the costs of winding up, then in repaying to the Partners any loans made by them, then in repaying the contributions of the Partners, and the surplus, if any, shall be distributed among the Partners in their profit-sharing proportions.</w:t>
      </w:r>
    </w:p>
    <w:p>
      <w:pPr>
        <w:keepNext/>
        <w:spacing w:after="120" w:before="280"/>
        <w:outlineLvl w:val="0"/>
      </w:pPr>
      <w:r>
        <w:rPr>
          <w:rFonts w:ascii="Calibri" w:cs="Calibri" w:eastAsia="Calibri" w:hAnsi="Calibri"/>
          <w:b/>
          <w:bCs/>
          <w:color w:val="14161B"/>
          <w:sz w:val="22"/>
          <w:szCs w:val="22"/>
        </w:rPr>
        <w:t xml:space="preserve">13. GENERAL</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b/>
          <w:bCs/>
          <w:sz w:val="21"/>
          <w:szCs w:val="21"/>
        </w:rPr>
        <w:t xml:space="preserve">Schedule I excluded.</w:t>
      </w:r>
      <w:r>
        <w:rPr>
          <w:rFonts w:ascii="Calibri" w:cs="Calibri" w:eastAsia="Calibri" w:hAnsi="Calibri"/>
          <w:sz w:val="21"/>
          <w:szCs w:val="21"/>
        </w:rPr>
        <w:t xml:space="preserve"> The mutual rights and duties of the Partners, and of the Partners and the LLP, shall be governed by this Agreement. The provisions of Schedule I to the Act shall not apply, save to the extent this Agreement is silent.</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b/>
          <w:bCs/>
          <w:sz w:val="21"/>
          <w:szCs w:val="21"/>
        </w:rPr>
        <w:t xml:space="preserve">Amendment.</w:t>
      </w:r>
      <w:r>
        <w:rPr>
          <w:rFonts w:ascii="Calibri" w:cs="Calibri" w:eastAsia="Calibri" w:hAnsi="Calibri"/>
          <w:sz w:val="21"/>
          <w:szCs w:val="21"/>
        </w:rPr>
        <w:t xml:space="preserve"> This Agreement may be amended only by a supplementary agreement in writing signed by all the Partners, and the prescribed form shall be filed with the Registrar within the period prescribed.</w:t>
      </w:r>
    </w:p>
    <w:p>
      <w:pPr>
        <w:spacing w:after="120" w:before="60" w:line="276"/>
        <w:ind w:left="720" w:hanging="720"/>
        <w:jc w:val="both"/>
      </w:pPr>
      <w:r>
        <w:rPr>
          <w:rFonts w:ascii="Calibri" w:cs="Calibri" w:eastAsia="Calibri" w:hAnsi="Calibri"/>
          <w:sz w:val="21"/>
          <w:szCs w:val="21"/>
        </w:rPr>
        <w:t xml:space="preserve">13.3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and delivered by hand, courier or email to the addresses in Schedule 3.</w:t>
      </w:r>
    </w:p>
    <w:p>
      <w:pPr>
        <w:spacing w:after="120" w:before="60" w:line="276"/>
        <w:ind w:left="720" w:hanging="720"/>
        <w:jc w:val="both"/>
      </w:pPr>
      <w:r>
        <w:rPr>
          <w:rFonts w:ascii="Calibri" w:cs="Calibri" w:eastAsia="Calibri" w:hAnsi="Calibri"/>
          <w:sz w:val="21"/>
          <w:szCs w:val="21"/>
        </w:rPr>
        <w:t xml:space="preserve">13.4	</w:t>
      </w:r>
      <w:r>
        <w:rPr>
          <w:rFonts w:ascii="Calibri" w:cs="Calibri" w:eastAsia="Calibri" w:hAnsi="Calibri"/>
          <w:b/>
          <w:bCs/>
          <w:sz w:val="21"/>
          <w:szCs w:val="21"/>
        </w:rPr>
        <w:t xml:space="preserve">Severability, counterparts and electronic execution.</w:t>
      </w:r>
      <w:r>
        <w:rPr>
          <w:rFonts w:ascii="Calibri" w:cs="Calibri" w:eastAsia="Calibri" w:hAnsi="Calibri"/>
          <w:sz w:val="21"/>
          <w:szCs w:val="21"/>
        </w:rPr>
        <w:t xml:space="preserve"> If any provision is held invalid it shall be severed and the remainder shall continue. This Agreement may be executed in counterparts and by electronic signature.</w:t>
      </w:r>
    </w:p>
    <w:p>
      <w:pPr>
        <w:spacing w:after="120" w:before="60" w:line="276"/>
        <w:ind w:left="720" w:hanging="720"/>
        <w:jc w:val="both"/>
      </w:pPr>
      <w:r>
        <w:rPr>
          <w:rFonts w:ascii="Calibri" w:cs="Calibri" w:eastAsia="Calibri" w:hAnsi="Calibri"/>
          <w:sz w:val="21"/>
          <w:szCs w:val="21"/>
        </w:rPr>
        <w:t xml:space="preserve">13.5	</w:t>
      </w:r>
      <w:r>
        <w:rPr>
          <w:rFonts w:ascii="Calibri" w:cs="Calibri" w:eastAsia="Calibri" w:hAnsi="Calibri"/>
          <w:b/>
          <w:bCs/>
          <w:sz w:val="21"/>
          <w:szCs w:val="21"/>
        </w:rPr>
        <w:t xml:space="preserve">Governing law.</w:t>
      </w:r>
      <w:r>
        <w:rPr>
          <w:rFonts w:ascii="Calibri" w:cs="Calibri" w:eastAsia="Calibri" w:hAnsi="Calibri"/>
          <w:sz w:val="21"/>
          <w:szCs w:val="21"/>
        </w:rPr>
        <w:t xml:space="preserve"> This Agreement is governed by the laws of India and by the Limited Liability Partnership Act, 2008.</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Partners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3]</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DPIN: </w:t>
            </w:r>
            <w:r>
              <w:rPr>
                <w:rFonts w:ascii="Calibri" w:cs="Calibri" w:eastAsia="Calibri" w:hAnsi="Calibri"/>
                <w:b/>
                <w:bCs/>
                <w:sz w:val="21"/>
                <w:szCs w:val="21"/>
              </w:rPr>
              <w:t xml:space="preserve">[DPIN]</w:t>
            </w:r>
            <w:r>
              <w:rPr>
                <w:rFonts w:ascii="Calibri" w:cs="Calibri" w:eastAsia="Calibri" w:hAnsi="Calibri"/>
                <w:sz w:val="21"/>
                <w:szCs w:val="21"/>
              </w:rPr>
              <w:t xml:space="preserve">  PAN: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[LLP NAME]</w:t>
            </w:r>
            <w:r>
              <w:rPr>
                <w:rFonts w:ascii="Calibri" w:cs="Calibri" w:eastAsia="Calibri" w:hAnsi="Calibri"/>
                <w:b/>
                <w:bCs/>
                <w:sz w:val="21"/>
                <w:szCs w:val="21"/>
              </w:rPr>
              <w:t xml:space="preserve"> LLP</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Designated Partner  DPIN: </w:t>
            </w:r>
            <w:r>
              <w:rPr>
                <w:rFonts w:ascii="Calibri" w:cs="Calibri" w:eastAsia="Calibri" w:hAnsi="Calibri"/>
                <w:b/>
                <w:bCs/>
                <w:sz w:val="21"/>
                <w:szCs w:val="21"/>
              </w:rPr>
              <w:t xml:space="preserve">[DPIN]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Contribution and Profit Sharing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927"/>
        <w:gridCol w:w="1349"/>
        <w:gridCol w:w="1927"/>
        <w:gridCol w:w="1156"/>
        <w:gridCol w:w="963"/>
        <w:gridCol w:w="963"/>
        <w:gridCol w:w="872"/>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Contribution (₹)</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Form of contribution</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Due by</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Contribution %</w:t>
            </w:r>
          </w:p>
        </w:tc>
        <w:tc>
          <w:tcPr>
            <w:tcW w:type="dxa" w:w="9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Profit share %</w:t>
            </w:r>
          </w:p>
        </w:tc>
        <w:tc>
          <w:tcPr>
            <w:tcW w:type="dxa" w:w="87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Loss share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1]</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[Cash / In kind — describe]</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87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2]</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[Cash / In kind]</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87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3]</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[Cash / In kind]</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87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1927"/>
            <w:tcMar>
              <w:top w:type="dxa" w:w="70"/>
              <w:left w:type="dxa" w:w="100"/>
              <w:bottom w:type="dxa" w:w="70"/>
              <w:right w:type="dxa" w:w="100"/>
            </w:tcMar>
            <w:vAlign w:val="center"/>
          </w:tcPr>
          <w:p>
            <w:pPr>
              <w:spacing w:after="0" w:line="240"/>
              <w:jc w:val="left"/>
            </w:pPr>
          </w:p>
        </w:tc>
        <w:tc>
          <w:tcPr>
            <w:tcW w:type="dxa" w:w="1156"/>
            <w:tcMar>
              <w:top w:type="dxa" w:w="70"/>
              <w:left w:type="dxa" w:w="100"/>
              <w:bottom w:type="dxa" w:w="70"/>
              <w:right w:type="dxa" w:w="100"/>
            </w:tcMar>
            <w:vAlign w:val="center"/>
          </w:tcPr>
          <w:p>
            <w:pPr>
              <w:spacing w:after="0" w:line="240"/>
              <w:jc w:val="center"/>
            </w:pP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96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87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Working Partners, Roles and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1252"/>
        <w:gridCol w:w="2505"/>
        <w:gridCol w:w="1734"/>
        <w:gridCol w:w="2605"/>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Working partner</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 and responsibilities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 commitment</w:t>
            </w:r>
          </w:p>
        </w:tc>
        <w:tc>
          <w:tcPr>
            <w:tcW w:type="dxa" w:w="26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Remuneration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[Full-time / ____ hours per week]</w:t>
            </w:r>
          </w:p>
        </w:tc>
        <w:tc>
          <w:tcPr>
            <w:tcW w:type="dxa" w:w="26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______ per month, or ______ per cent of book profit, subject to Clause 4.2]</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[COMMITMENT]</w:t>
            </w:r>
          </w:p>
        </w:tc>
        <w:tc>
          <w:tcPr>
            <w:tcW w:type="dxa" w:w="26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[REMUNERATION]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[COMMITMENT]</w:t>
            </w:r>
          </w:p>
        </w:tc>
        <w:tc>
          <w:tcPr>
            <w:tcW w:type="dxa" w:w="26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[REMUNERATION]</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Notices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2313"/>
        <w:gridCol w:w="1736"/>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Telephone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LLP</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OFFICE]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File it within thirty days, or Schedule I governs</w:t>
      </w:r>
    </w:p>
    <w:p>
      <w:pPr>
        <w:spacing w:after="60" w:line="264"/>
        <w:jc w:val="both"/>
      </w:pPr>
      <w:r>
        <w:rPr>
          <w:rFonts w:ascii="Calibri" w:cs="Calibri" w:eastAsia="Calibri" w:hAnsi="Calibri"/>
          <w:sz w:val="19"/>
          <w:szCs w:val="19"/>
        </w:rPr>
        <w:t xml:space="preserve">An LLP agreement must be filed with the Registrar in the prescribed form within thirty days of incorporation. Where no agreement is filed, or on any matter on which the agreement is silent, Schedule I to the Act applies by default. Those defaults share profits equally regardless of contribution, require unanimity for every decision, entitle every partner to take part in management, and confer no power to expel a partner on any ground. An LLP with three partners contributing in the ratio 70:20:10 and no filed agreement shares profits one third each.</w:t>
      </w:r>
    </w:p>
    <w:p>
      <w:pPr>
        <w:keepNext/>
        <w:spacing w:after="40" w:before="140"/>
      </w:pPr>
      <w:r>
        <w:rPr>
          <w:rFonts w:ascii="Calibri" w:cs="Calibri" w:eastAsia="Calibri" w:hAnsi="Calibri"/>
          <w:b/>
          <w:bCs/>
          <w:color w:val="14161B"/>
          <w:sz w:val="20"/>
          <w:szCs w:val="20"/>
        </w:rPr>
        <w:t xml:space="preserve">Contribution is not share capital</w:t>
      </w:r>
    </w:p>
    <w:p>
      <w:pPr>
        <w:spacing w:after="60" w:line="264"/>
        <w:jc w:val="both"/>
      </w:pPr>
      <w:r>
        <w:rPr>
          <w:rFonts w:ascii="Calibri" w:cs="Calibri" w:eastAsia="Calibri" w:hAnsi="Calibri"/>
          <w:sz w:val="19"/>
          <w:szCs w:val="19"/>
        </w:rPr>
        <w:t xml:space="preserve">There is no minimum contribution, contribution may be in cash or in kind, and contribution ratio need not match profit-sharing ratio. Because the two can differ, state both separately in Schedule 1 rather than assuming one follows the other. Contribution in kind must be valued by a qualified person and the valuation retained.</w:t>
      </w:r>
    </w:p>
    <w:p>
      <w:pPr>
        <w:keepNext/>
        <w:spacing w:after="40" w:before="140"/>
      </w:pPr>
      <w:r>
        <w:rPr>
          <w:rFonts w:ascii="Calibri" w:cs="Calibri" w:eastAsia="Calibri" w:hAnsi="Calibri"/>
          <w:b/>
          <w:bCs/>
          <w:color w:val="14161B"/>
          <w:sz w:val="20"/>
          <w:szCs w:val="20"/>
        </w:rPr>
        <w:t xml:space="preserve">Partner remuneration must be authorised in advance</w:t>
      </w:r>
    </w:p>
    <w:p>
      <w:pPr>
        <w:spacing w:after="60" w:line="264"/>
        <w:jc w:val="both"/>
      </w:pPr>
      <w:r>
        <w:rPr>
          <w:rFonts w:ascii="Calibri" w:cs="Calibri" w:eastAsia="Calibri" w:hAnsi="Calibri"/>
          <w:sz w:val="19"/>
          <w:szCs w:val="19"/>
        </w:rPr>
        <w:t xml:space="preserve">Remuneration to working partners is deductible in computing the income of the LLP only if it is authorised by, and is in accordance with, the terms of the LLP agreement, and only for a period falling after the date of that agreement. A resolution passed at the year end authorising remuneration for the year just ended does not work. Where remuneration is being introduced or changed, execute and file a supplementary agreement before the period to which it relates begins, and confirm the current deduction limits and the permissible rate of interest on contribution with your tax adviser.</w:t>
      </w:r>
    </w:p>
    <w:p>
      <w:pPr>
        <w:keepNext/>
        <w:spacing w:after="40" w:before="140"/>
      </w:pPr>
      <w:r>
        <w:rPr>
          <w:rFonts w:ascii="Calibri" w:cs="Calibri" w:eastAsia="Calibri" w:hAnsi="Calibri"/>
          <w:b/>
          <w:bCs/>
          <w:color w:val="14161B"/>
          <w:sz w:val="20"/>
          <w:szCs w:val="20"/>
        </w:rPr>
        <w:t xml:space="preserve">Designated partners carry the compliance liability</w:t>
      </w:r>
    </w:p>
    <w:p>
      <w:pPr>
        <w:spacing w:after="60" w:line="264"/>
        <w:jc w:val="both"/>
      </w:pPr>
      <w:r>
        <w:rPr>
          <w:rFonts w:ascii="Calibri" w:cs="Calibri" w:eastAsia="Calibri" w:hAnsi="Calibri"/>
          <w:sz w:val="19"/>
          <w:szCs w:val="19"/>
        </w:rPr>
        <w:t xml:space="preserve">At least two designated partners are required, both individuals, at least one resident in India. They are personally liable for the penalties imposed for the LLP’s failure to file. In a small LLP the designated partners are usually the working partners, who are also the people least likely to track filing deadlines. Put the annual filings in a calendar and treat them as the designated partners’ personal exposure, because that is what they are.</w:t>
      </w:r>
    </w:p>
    <w:p>
      <w:pPr>
        <w:keepNext/>
        <w:spacing w:after="40" w:before="140"/>
      </w:pPr>
      <w:r>
        <w:rPr>
          <w:rFonts w:ascii="Calibri" w:cs="Calibri" w:eastAsia="Calibri" w:hAnsi="Calibri"/>
          <w:b/>
          <w:bCs/>
          <w:color w:val="14161B"/>
          <w:sz w:val="20"/>
          <w:szCs w:val="20"/>
        </w:rPr>
        <w:t xml:space="preserve">Filing penalties compound daily</w:t>
      </w:r>
    </w:p>
    <w:p>
      <w:pPr>
        <w:spacing w:after="60" w:line="264"/>
        <w:jc w:val="both"/>
      </w:pPr>
      <w:r>
        <w:rPr>
          <w:rFonts w:ascii="Calibri" w:cs="Calibri" w:eastAsia="Calibri" w:hAnsi="Calibri"/>
          <w:sz w:val="19"/>
          <w:szCs w:val="19"/>
        </w:rPr>
        <w:t xml:space="preserve">Late filing of LLP forms attracts an additional fee that accrues per day of delay and is not subject to the same ceilings that apply to companies. An LLP that has not filed for several years can face a very large accumulated fee. If filings are behind, deal with them promptly rather than waiting for a transaction to force the issue.</w:t>
      </w:r>
    </w:p>
    <w:p>
      <w:pPr>
        <w:keepNext/>
        <w:spacing w:after="40" w:before="140"/>
      </w:pPr>
      <w:r>
        <w:rPr>
          <w:rFonts w:ascii="Calibri" w:cs="Calibri" w:eastAsia="Calibri" w:hAnsi="Calibri"/>
          <w:b/>
          <w:bCs/>
          <w:color w:val="14161B"/>
          <w:sz w:val="20"/>
          <w:szCs w:val="20"/>
        </w:rPr>
        <w:t xml:space="preserve">Expulsion must be conferred expressly</w:t>
      </w:r>
    </w:p>
    <w:p>
      <w:pPr>
        <w:spacing w:after="60" w:line="264"/>
        <w:jc w:val="both"/>
      </w:pPr>
      <w:r>
        <w:rPr>
          <w:rFonts w:ascii="Calibri" w:cs="Calibri" w:eastAsia="Calibri" w:hAnsi="Calibri"/>
          <w:sz w:val="19"/>
          <w:szCs w:val="19"/>
        </w:rPr>
        <w:t xml:space="preserve">The Act gives no power to expel a partner. If the agreement does not confer one, a partner who is defrauding the LLP cannot be removed except by winding it up or by agreement. Clause 9.4 confers the power, defines the grounds narrowly, and requires notice and an opportunity to respond, which is what makes it defensible.</w:t>
      </w:r>
    </w:p>
    <w:p>
      <w:pPr>
        <w:keepNext/>
        <w:spacing w:after="40" w:before="140"/>
      </w:pPr>
      <w:r>
        <w:rPr>
          <w:rFonts w:ascii="Calibri" w:cs="Calibri" w:eastAsia="Calibri" w:hAnsi="Calibri"/>
          <w:b/>
          <w:bCs/>
          <w:color w:val="14161B"/>
          <w:sz w:val="20"/>
          <w:szCs w:val="20"/>
        </w:rPr>
        <w:t xml:space="preserve">Settlement on cessation is where LLPs actually fall out</w:t>
      </w:r>
    </w:p>
    <w:p>
      <w:pPr>
        <w:spacing w:after="60" w:line="264"/>
        <w:jc w:val="both"/>
      </w:pPr>
      <w:r>
        <w:rPr>
          <w:rFonts w:ascii="Calibri" w:cs="Calibri" w:eastAsia="Calibri" w:hAnsi="Calibri"/>
          <w:sz w:val="19"/>
          <w:szCs w:val="19"/>
        </w:rPr>
        <w:t xml:space="preserve">Clause 9.5 fixes what a departing partner receives: contribution, share of accumulated profits, current account balance, less what is owed. The two questions to settle explicitly are whether the departing partner is paid anything for goodwill, and over what period the payment is made. Silence on either produces a dispute at exactly the moment the relationship has broken down.</w:t>
      </w:r>
    </w:p>
    <w:p>
      <w:pPr>
        <w:keepNext/>
        <w:spacing w:after="40" w:before="140"/>
      </w:pPr>
      <w:r>
        <w:rPr>
          <w:rFonts w:ascii="Calibri" w:cs="Calibri" w:eastAsia="Calibri" w:hAnsi="Calibri"/>
          <w:b/>
          <w:bCs/>
          <w:color w:val="14161B"/>
          <w:sz w:val="20"/>
          <w:szCs w:val="20"/>
        </w:rPr>
        <w:t xml:space="preserve">Transfer of profit share is not admission</w:t>
      </w:r>
    </w:p>
    <w:p>
      <w:pPr>
        <w:spacing w:after="60" w:line="264"/>
        <w:jc w:val="both"/>
      </w:pPr>
      <w:r>
        <w:rPr>
          <w:rFonts w:ascii="Calibri" w:cs="Calibri" w:eastAsia="Calibri" w:hAnsi="Calibri"/>
          <w:sz w:val="19"/>
          <w:szCs w:val="19"/>
        </w:rPr>
        <w:t xml:space="preserve">A partner may assign the economic right to profits, but the assignee gets no management rights, no information rights, and does not become a partner. Partners sometimes assume assigning a profit share transfers the partnership interest. It does not, and admission of a new partner requires consent and a filing.</w:t>
      </w:r>
    </w:p>
    <w:p>
      <w:pPr>
        <w:keepNext/>
        <w:spacing w:after="40" w:before="140"/>
      </w:pPr>
      <w:r>
        <w:rPr>
          <w:rFonts w:ascii="Calibri" w:cs="Calibri" w:eastAsia="Calibri" w:hAnsi="Calibri"/>
          <w:b/>
          <w:bCs/>
          <w:color w:val="14161B"/>
          <w:sz w:val="20"/>
          <w:szCs w:val="20"/>
        </w:rPr>
        <w:t xml:space="preserve">Liability is limited but not absolute</w:t>
      </w:r>
    </w:p>
    <w:p>
      <w:pPr>
        <w:spacing w:after="60" w:line="264"/>
        <w:jc w:val="both"/>
      </w:pPr>
      <w:r>
        <w:rPr>
          <w:rFonts w:ascii="Calibri" w:cs="Calibri" w:eastAsia="Calibri" w:hAnsi="Calibri"/>
          <w:sz w:val="19"/>
          <w:szCs w:val="19"/>
        </w:rPr>
        <w:t xml:space="preserve">A partner is not liable for another partner’s wrongful acts, but remains personally liable for its own, and the shield does not protect a partner who acts with intent to defraud a creditor. The LLP form limits vicarious liability; it does not convert negligence into immunity.</w:t>
      </w:r>
    </w:p>
    <w:p>
      <w:pPr>
        <w:keepNext/>
        <w:spacing w:after="40" w:before="140"/>
      </w:pPr>
      <w:r>
        <w:rPr>
          <w:rFonts w:ascii="Calibri" w:cs="Calibri" w:eastAsia="Calibri" w:hAnsi="Calibri"/>
          <w:b/>
          <w:bCs/>
          <w:color w:val="14161B"/>
          <w:sz w:val="20"/>
          <w:szCs w:val="20"/>
        </w:rPr>
        <w:t xml:space="preserve">No non-compete after cessation</w:t>
      </w:r>
    </w:p>
    <w:p>
      <w:pPr>
        <w:spacing w:after="60" w:line="264"/>
        <w:jc w:val="both"/>
      </w:pPr>
      <w:r>
        <w:rPr>
          <w:rFonts w:ascii="Calibri" w:cs="Calibri" w:eastAsia="Calibri" w:hAnsi="Calibri"/>
          <w:sz w:val="19"/>
          <w:szCs w:val="19"/>
        </w:rPr>
        <w:t xml:space="preserve">Clause 10.3 states the position. Section 27 of the Indian Contract Act, 1872 voids restraints of trade, and a post-cessation non-compete on a former partner will not be enforced except within the narrow goodwill exception. The duty not to compete during the partnership, in Clause 7.1(d), is enforceable and is the clause that matters.</w:t>
      </w:r>
    </w:p>
    <w:p>
      <w:pPr>
        <w:keepNext/>
        <w:spacing w:after="40" w:before="140"/>
      </w:pPr>
      <w:r>
        <w:rPr>
          <w:rFonts w:ascii="Calibri" w:cs="Calibri" w:eastAsia="Calibri" w:hAnsi="Calibri"/>
          <w:b/>
          <w:bCs/>
          <w:color w:val="14161B"/>
          <w:sz w:val="20"/>
          <w:szCs w:val="20"/>
        </w:rPr>
        <w:t xml:space="preserve">Audit thresholds and annual filings</w:t>
      </w:r>
    </w:p>
    <w:p>
      <w:pPr>
        <w:spacing w:after="60" w:line="264"/>
        <w:jc w:val="both"/>
      </w:pPr>
      <w:r>
        <w:rPr>
          <w:rFonts w:ascii="Calibri" w:cs="Calibri" w:eastAsia="Calibri" w:hAnsi="Calibri"/>
          <w:sz w:val="19"/>
          <w:szCs w:val="19"/>
        </w:rPr>
        <w:t xml:space="preserve">Audit is mandatory only above prescribed turnover and contribution thresholds, but the statement of account and solvency and the annual return must be filed every year regardless. An LLP below the audit threshold still has annual filing obligations, which is the point most often missed by small LLPs that assume being unaudited means being unregulated.</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Duty on an LLP agreement is State-specific and in several States is calculated by reference to the contribution. Confirm the article and the rate in the State of execution before printing, and note the place of execution correctly. A supplementary agreement is separately stampable.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forms and timelines, audit thresholds, additional fee structures, and the tax limits on partner remuneration and interest on contribution all change — have this agreement reviewed by a company secretary and a tax adviser before execution and before any supplementary agreement.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2026-08-21T12:53:54.557Z</dcterms:created>
  <dcterms:modified xsi:type="dcterms:W3CDTF">2026-08-21T12:53:54.557Z</dcterms:modified>
</cp:coreProperties>
</file>

<file path=docProps/custom.xml><?xml version="1.0" encoding="utf-8"?>
<Properties xmlns="http://schemas.openxmlformats.org/officeDocument/2006/custom-properties" xmlns:vt="http://schemas.openxmlformats.org/officeDocument/2006/docPropsVTypes"/>
</file>