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INCREMENT LETTER</w:t>
      </w:r>
    </w:p>
    <w:p>
      <w:pPr>
        <w:spacing w:after="260"/>
        <w:jc w:val="center"/>
      </w:pPr>
      <w:r>
        <w:rPr>
          <w:rFonts w:ascii="Calibri" w:cs="Calibri" w:eastAsia="Calibri" w:hAnsi="Calibri"/>
          <w:b/>
          <w:bCs/>
          <w:i/>
          <w:iCs/>
          <w:color w:val="6E7480"/>
          <w:sz w:val="19"/>
          <w:szCs w:val="19"/>
        </w:rPr>
        <w:t xml:space="preserve">[COMPANY NAME]</w:t>
      </w:r>
    </w:p>
    <w:p>
      <w:pPr>
        <w:spacing w:after="180" w:before="0" w:line="276"/>
        <w:jc w:val="both"/>
      </w:pPr>
      <w:r>
        <w:rPr>
          <w:rFonts w:ascii="Calibri" w:cs="Calibri" w:eastAsia="Calibri" w:hAnsi="Calibri"/>
          <w:i/>
          <w:iCs/>
          <w:color w:val="6E7480"/>
          <w:sz w:val="21"/>
          <w:szCs w:val="21"/>
        </w:rPr>
        <w:t xml:space="preserve">When pay changes, the wage structure has to be rebuilt, not just scaled. Basic and dearness allowance must remain at least half of total remuneration, and every statutory computation — provident fund, gratuity, leave encashment, overtime — moves with them. An increment applied only to the allowance components quietly breaches the rule.</w:t>
      </w:r>
    </w:p>
    <w:p>
      <w:pPr>
        <w:spacing w:after="160" w:before="0" w:line="276"/>
        <w:jc w:val="both"/>
      </w:pPr>
      <w:r>
        <w:rPr>
          <w:rFonts w:ascii="Calibri" w:cs="Calibri" w:eastAsia="Calibri" w:hAnsi="Calibri"/>
          <w:b/>
          <w:bCs/>
          <w:sz w:val="21"/>
          <w:szCs w:val="21"/>
        </w:rPr>
        <w:t xml:space="preserve">[COMPANY NAME]</w:t>
      </w:r>
      <w:r>
        <w:rPr>
          <w:rFonts w:ascii="Calibri" w:cs="Calibri" w:eastAsia="Calibri" w:hAnsi="Calibri"/>
          <w:sz w:val="21"/>
          <w:szCs w:val="21"/>
        </w:rPr>
        <w:t xml:space="preserve">  CIN: </w:t>
      </w:r>
      <w:r>
        <w:rPr>
          <w:rFonts w:ascii="Calibri" w:cs="Calibri" w:eastAsia="Calibri" w:hAnsi="Calibri"/>
          <w:b/>
          <w:bCs/>
          <w:sz w:val="21"/>
          <w:szCs w:val="21"/>
        </w:rPr>
        <w:t xml:space="preserve">[CIN]</w:t>
      </w:r>
      <w:r>
        <w:rPr>
          <w:rFonts w:ascii="Calibri" w:cs="Calibri" w:eastAsia="Calibri" w:hAnsi="Calibri"/>
          <w:sz w:val="21"/>
          <w:szCs w:val="21"/>
        </w:rPr>
        <w:t xml:space="preserve">  </w:t>
      </w:r>
      <w:r>
        <w:rPr>
          <w:rFonts w:ascii="Calibri" w:cs="Calibri" w:eastAsia="Calibri" w:hAnsi="Calibri"/>
          <w:b/>
          <w:bCs/>
          <w:sz w:val="21"/>
          <w:szCs w:val="21"/>
        </w:rPr>
        <w:t xml:space="preserve">[REGISTERED OFFICE]</w:t>
      </w:r>
    </w:p>
    <w:p>
      <w:pPr>
        <w:spacing w:after="100" w:before="0" w:line="276"/>
        <w:jc w:val="both"/>
      </w:pPr>
      <w:r>
        <w:rPr>
          <w:rFonts w:ascii="Calibri" w:cs="Calibri" w:eastAsia="Calibri" w:hAnsi="Calibri"/>
          <w:b/>
          <w:bCs/>
          <w:sz w:val="21"/>
          <w:szCs w:val="21"/>
        </w:rPr>
        <w:t xml:space="preserve">Private and confidential</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  Reference: </w:t>
      </w:r>
      <w:r>
        <w:rPr>
          <w:rFonts w:ascii="Calibri" w:cs="Calibri" w:eastAsia="Calibri" w:hAnsi="Calibri"/>
          <w:b/>
          <w:bCs/>
          <w:sz w:val="21"/>
          <w:szCs w:val="21"/>
        </w:rPr>
        <w:t xml:space="preserve">[REF]</w:t>
      </w:r>
    </w:p>
    <w:p>
      <w:pPr>
        <w:spacing w:after="160" w:before="0" w:line="276"/>
        <w:jc w:val="both"/>
      </w:pP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r>
        <w:rPr>
          <w:rFonts w:ascii="Calibri" w:cs="Calibri" w:eastAsia="Calibri" w:hAnsi="Calibri"/>
          <w:sz w:val="21"/>
          <w:szCs w:val="21"/>
        </w:rPr>
        <w:t xml:space="preserve">, Employee ID </w:t>
      </w:r>
      <w:r>
        <w:rPr>
          <w:rFonts w:ascii="Calibri" w:cs="Calibri" w:eastAsia="Calibri" w:hAnsi="Calibri"/>
          <w:b/>
          <w:bCs/>
          <w:sz w:val="21"/>
          <w:szCs w:val="21"/>
        </w:rPr>
        <w:t xml:space="preserve">[ID]</w:t>
      </w:r>
    </w:p>
    <w:p>
      <w:pPr>
        <w:spacing w:after="140" w:before="0" w:line="276"/>
        <w:jc w:val="both"/>
      </w:pPr>
      <w:r>
        <w:rPr>
          <w:rFonts w:ascii="Calibri" w:cs="Calibri" w:eastAsia="Calibri" w:hAnsi="Calibri"/>
          <w:sz w:val="21"/>
          <w:szCs w:val="21"/>
        </w:rPr>
        <w:t xml:space="preserve">Dear </w:t>
      </w:r>
      <w:r>
        <w:rPr>
          <w:rFonts w:ascii="Calibri" w:cs="Calibri" w:eastAsia="Calibri" w:hAnsi="Calibri"/>
          <w:b/>
          <w:bCs/>
          <w:sz w:val="21"/>
          <w:szCs w:val="21"/>
        </w:rPr>
        <w:t xml:space="preserve">[FIRST NAME]</w:t>
      </w:r>
      <w:r>
        <w:rPr>
          <w:rFonts w:ascii="Calibri" w:cs="Calibri" w:eastAsia="Calibri" w:hAnsi="Calibri"/>
          <w:sz w:val="21"/>
          <w:szCs w:val="21"/>
        </w:rPr>
        <w:t xml:space="preserve">,</w:t>
      </w:r>
    </w:p>
    <w:p>
      <w:pPr>
        <w:spacing w:after="140" w:before="0" w:line="276"/>
        <w:jc w:val="both"/>
      </w:pPr>
      <w:r>
        <w:rPr>
          <w:rFonts w:ascii="Calibri" w:cs="Calibri" w:eastAsia="Calibri" w:hAnsi="Calibri"/>
          <w:b/>
          <w:bCs/>
          <w:sz w:val="21"/>
          <w:szCs w:val="21"/>
        </w:rPr>
        <w:t xml:space="preserve">[Annual increment / Increment and promotion]</w:t>
      </w:r>
      <w:r>
        <w:rPr>
          <w:rFonts w:ascii="Calibri" w:cs="Calibri" w:eastAsia="Calibri" w:hAnsi="Calibri"/>
          <w:b/>
          <w:bCs/>
          <w:sz w:val="21"/>
          <w:szCs w:val="21"/>
        </w:rPr>
        <w:t xml:space="preserve"> — effective </w:t>
      </w:r>
      <w:r>
        <w:rPr>
          <w:rFonts w:ascii="Calibri" w:cs="Calibri" w:eastAsia="Calibri" w:hAnsi="Calibri"/>
          <w:b/>
          <w:bCs/>
          <w:sz w:val="21"/>
          <w:szCs w:val="21"/>
        </w:rPr>
        <w:t xml:space="preserve">[DATE]</w:t>
      </w:r>
    </w:p>
    <w:p>
      <w:pPr>
        <w:spacing w:after="160" w:before="0" w:line="276"/>
        <w:jc w:val="both"/>
      </w:pPr>
      <w:r>
        <w:rPr>
          <w:rFonts w:ascii="Calibri" w:cs="Calibri" w:eastAsia="Calibri" w:hAnsi="Calibri"/>
          <w:sz w:val="21"/>
          <w:szCs w:val="21"/>
        </w:rPr>
        <w:t xml:space="preserve">Following the </w:t>
      </w:r>
      <w:r>
        <w:rPr>
          <w:rFonts w:ascii="Calibri" w:cs="Calibri" w:eastAsia="Calibri" w:hAnsi="Calibri"/>
          <w:b/>
          <w:bCs/>
          <w:sz w:val="21"/>
          <w:szCs w:val="21"/>
        </w:rPr>
        <w:t xml:space="preserve">[annual]</w:t>
      </w:r>
      <w:r>
        <w:rPr>
          <w:rFonts w:ascii="Calibri" w:cs="Calibri" w:eastAsia="Calibri" w:hAnsi="Calibri"/>
          <w:sz w:val="21"/>
          <w:szCs w:val="21"/>
        </w:rPr>
        <w:t xml:space="preserve"> performance review for the period </w:t>
      </w:r>
      <w:r>
        <w:rPr>
          <w:rFonts w:ascii="Calibri" w:cs="Calibri" w:eastAsia="Calibri" w:hAnsi="Calibri"/>
          <w:b/>
          <w:bCs/>
          <w:sz w:val="21"/>
          <w:szCs w:val="21"/>
        </w:rPr>
        <w:t xml:space="preserve">[FROM]</w:t>
      </w:r>
      <w:r>
        <w:rPr>
          <w:rFonts w:ascii="Calibri" w:cs="Calibri" w:eastAsia="Calibri" w:hAnsi="Calibri"/>
          <w:sz w:val="21"/>
          <w:szCs w:val="21"/>
        </w:rPr>
        <w:t xml:space="preserve"> to </w:t>
      </w:r>
      <w:r>
        <w:rPr>
          <w:rFonts w:ascii="Calibri" w:cs="Calibri" w:eastAsia="Calibri" w:hAnsi="Calibri"/>
          <w:b/>
          <w:bCs/>
          <w:sz w:val="21"/>
          <w:szCs w:val="21"/>
        </w:rPr>
        <w:t xml:space="preserve">[TO]</w:t>
      </w:r>
      <w:r>
        <w:rPr>
          <w:rFonts w:ascii="Calibri" w:cs="Calibri" w:eastAsia="Calibri" w:hAnsi="Calibri"/>
          <w:sz w:val="21"/>
          <w:szCs w:val="21"/>
        </w:rPr>
        <w:t xml:space="preserve">, we are pleased to inform you of the following changes to your role and remuneration, with effect from </w:t>
      </w:r>
      <w:r>
        <w:rPr>
          <w:rFonts w:ascii="Calibri" w:cs="Calibri" w:eastAsia="Calibri" w:hAnsi="Calibri"/>
          <w:b/>
          <w:bCs/>
          <w:sz w:val="21"/>
          <w:szCs w:val="21"/>
        </w:rPr>
        <w:t xml:space="preserve">[EFFECTIVE DATE]</w:t>
      </w:r>
      <w:r>
        <w:rPr>
          <w:rFonts w:ascii="Calibri" w:cs="Calibri" w:eastAsia="Calibri" w:hAnsi="Calibri"/>
          <w:sz w:val="21"/>
          <w:szCs w:val="21"/>
        </w:rPr>
        <w:t xml:space="preserv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3084"/>
        <w:gridCol w:w="3663"/>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Present</w:t>
            </w:r>
          </w:p>
        </w:tc>
        <w:tc>
          <w:tcPr>
            <w:tcW w:type="dxa" w:w="36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Revised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Grade or level</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[GRADE]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Reporting to</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Department or function</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[DEPARTMENT]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Annual cost to company</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 </w:t>
            </w:r>
            <w:r>
              <w:rPr>
                <w:rFonts w:ascii="Calibri" w:cs="Calibri" w:eastAsia="Calibri" w:hAnsi="Calibri"/>
                <w:b/>
                <w:bCs/>
                <w:sz w:val="19"/>
                <w:szCs w:val="19"/>
              </w:rPr>
              <w:t xml:space="preserve">[AMOUNT]</w:t>
            </w: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w:t>
            </w:r>
            <w:r>
              <w:rPr>
                <w:rFonts w:ascii="Calibri" w:cs="Calibri" w:eastAsia="Calibri" w:hAnsi="Calibri"/>
                <w:b/>
                <w:bCs/>
                <w:sz w:val="19"/>
                <w:szCs w:val="19"/>
              </w:rPr>
              <w:t xml:space="preserve">[AMOUNT]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Increase</w:t>
            </w:r>
          </w:p>
        </w:tc>
        <w:tc>
          <w:tcPr>
            <w:tcW w:type="dxa" w:w="3084"/>
            <w:tcMar>
              <w:top w:type="dxa" w:w="70"/>
              <w:left w:type="dxa" w:w="100"/>
              <w:bottom w:type="dxa" w:w="70"/>
              <w:right w:type="dxa" w:w="100"/>
            </w:tcMar>
            <w:vAlign w:val="center"/>
          </w:tcPr>
          <w:p>
            <w:pPr>
              <w:spacing w:after="0" w:line="240"/>
              <w:jc w:val="left"/>
            </w:pP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 </w:t>
            </w:r>
            <w:r>
              <w:rPr>
                <w:rFonts w:ascii="Calibri" w:cs="Calibri" w:eastAsia="Calibri" w:hAnsi="Calibri"/>
                <w:b/>
                <w:bCs/>
                <w:sz w:val="19"/>
                <w:szCs w:val="19"/>
              </w:rPr>
              <w:t xml:space="preserve">[AMOUNT]</w:t>
            </w:r>
            <w:r>
              <w:rPr>
                <w:rFonts w:ascii="Calibri" w:cs="Calibri" w:eastAsia="Calibri" w:hAnsi="Calibri"/>
                <w:sz w:val="19"/>
                <w:szCs w:val="19"/>
              </w:rPr>
              <w:t xml:space="preserve">, being </w:t>
            </w:r>
            <w:r>
              <w:rPr>
                <w:rFonts w:ascii="Calibri" w:cs="Calibri" w:eastAsia="Calibri" w:hAnsi="Calibri"/>
                <w:b/>
                <w:bCs/>
                <w:sz w:val="19"/>
                <w:szCs w:val="19"/>
              </w:rPr>
              <w:t xml:space="preserve">[PERCENTAGE]</w:t>
            </w:r>
            <w:r>
              <w:rPr>
                <w:rFonts w:ascii="Calibri" w:cs="Calibri" w:eastAsia="Calibri" w:hAnsi="Calibri"/>
                <w:sz w:val="19"/>
                <w:szCs w:val="19"/>
              </w:rPr>
              <w:t xml:space="preserve"> per cent</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Performance rating for the period</w:t>
            </w:r>
          </w:p>
        </w:tc>
        <w:tc>
          <w:tcPr>
            <w:tcW w:type="dxa" w:w="3084"/>
            <w:tcMar>
              <w:top w:type="dxa" w:w="70"/>
              <w:left w:type="dxa" w:w="100"/>
              <w:bottom w:type="dxa" w:w="70"/>
              <w:right w:type="dxa" w:w="100"/>
            </w:tcMar>
            <w:vAlign w:val="center"/>
          </w:tcPr>
          <w:p>
            <w:pPr>
              <w:spacing w:after="0" w:line="240"/>
              <w:jc w:val="left"/>
            </w:pP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[RATING]</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date</w:t>
            </w:r>
          </w:p>
        </w:tc>
        <w:tc>
          <w:tcPr>
            <w:tcW w:type="dxa" w:w="3084"/>
            <w:tcMar>
              <w:top w:type="dxa" w:w="70"/>
              <w:left w:type="dxa" w:w="100"/>
              <w:bottom w:type="dxa" w:w="70"/>
              <w:right w:type="dxa" w:w="100"/>
            </w:tcMar>
            <w:vAlign w:val="center"/>
          </w:tcPr>
          <w:p>
            <w:pPr>
              <w:spacing w:after="0" w:line="240"/>
              <w:jc w:val="left"/>
            </w:pP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Next review due</w:t>
            </w:r>
          </w:p>
        </w:tc>
        <w:tc>
          <w:tcPr>
            <w:tcW w:type="dxa" w:w="3084"/>
            <w:tcMar>
              <w:top w:type="dxa" w:w="70"/>
              <w:left w:type="dxa" w:w="100"/>
              <w:bottom w:type="dxa" w:w="70"/>
              <w:right w:type="dxa" w:w="100"/>
            </w:tcMar>
            <w:vAlign w:val="center"/>
          </w:tcPr>
          <w:p>
            <w:pPr>
              <w:spacing w:after="0" w:line="240"/>
              <w:jc w:val="left"/>
            </w:pPr>
          </w:p>
        </w:tc>
        <w:tc>
          <w:tcPr>
            <w:tcW w:type="dxa" w:w="36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REVISED REMUNERATION STRUCTURE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698"/>
        <w:gridCol w:w="1638"/>
        <w:gridCol w:w="1638"/>
        <w:gridCol w:w="1638"/>
        <w:gridCol w:w="2026"/>
      </w:tblGrid>
      <w:tr>
        <w:trPr>
          <w:tblHeader/>
        </w:trPr>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Component</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Present per month (₹)</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Revised per month (₹)</w:t>
            </w:r>
          </w:p>
        </w:tc>
        <w:tc>
          <w:tcPr>
            <w:tcW w:type="dxa" w:w="1638"/>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Revised per annum (₹)</w:t>
            </w:r>
          </w:p>
        </w:tc>
        <w:tc>
          <w:tcPr>
            <w:tcW w:type="dxa" w:w="2026"/>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Forms part of wages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Basic salary</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Dearness allowance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b/>
                <w:bCs/>
                <w:sz w:val="17"/>
                <w:szCs w:val="17"/>
              </w:rPr>
              <w:t xml:space="preserve">Yes</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wages</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House rent allowance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No</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Conveyance allowance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No</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Special allowance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No</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Gross monthly salary</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Wages as a percentage of gross</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w:t>
            </w:r>
          </w:p>
        </w:tc>
        <w:tc>
          <w:tcPr>
            <w:tcW w:type="dxa" w:w="1638"/>
            <w:tcMar>
              <w:top w:type="dxa" w:w="70"/>
              <w:left w:type="dxa" w:w="100"/>
              <w:bottom w:type="dxa" w:w="70"/>
              <w:right w:type="dxa" w:w="100"/>
            </w:tcMar>
            <w:vAlign w:val="center"/>
          </w:tcPr>
          <w:p>
            <w:pPr>
              <w:spacing w:after="0" w:line="240"/>
              <w:jc w:val="right"/>
            </w:pP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i/>
                <w:iCs/>
                <w:sz w:val="17"/>
                <w:szCs w:val="17"/>
              </w:rPr>
              <w:t xml:space="preserve">Must remain not less than 50 per cent</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Employer provident fund contribution</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Gratuity provision</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[Insurance and other benefits]</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Fixed cost to company</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Variable pay at full achievement</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sz w:val="17"/>
                <w:szCs w:val="17"/>
              </w:rPr>
              <w:t xml:space="preserve">—</w:t>
            </w: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r>
              <w:rPr>
                <w:rFonts w:ascii="Calibri" w:cs="Calibri" w:eastAsia="Calibri" w:hAnsi="Calibri"/>
                <w:sz w:val="17"/>
                <w:szCs w:val="17"/>
              </w:rPr>
              <w:t xml:space="preserve">—</w:t>
            </w:r>
          </w:p>
        </w:tc>
      </w:tr>
      <w:tr>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Total cost to company</w:t>
            </w:r>
          </w:p>
        </w:tc>
        <w:tc>
          <w:tcPr>
            <w:tcW w:type="dxa" w:w="1638"/>
            <w:tcMar>
              <w:top w:type="dxa" w:w="70"/>
              <w:left w:type="dxa" w:w="100"/>
              <w:bottom w:type="dxa" w:w="70"/>
              <w:right w:type="dxa" w:w="100"/>
            </w:tcMar>
            <w:vAlign w:val="center"/>
          </w:tcPr>
          <w:p>
            <w:pPr>
              <w:spacing w:after="0" w:line="240"/>
              <w:jc w:val="right"/>
            </w:pPr>
          </w:p>
        </w:tc>
        <w:tc>
          <w:tcPr>
            <w:tcW w:type="dxa" w:w="1638"/>
            <w:tcMar>
              <w:top w:type="dxa" w:w="70"/>
              <w:left w:type="dxa" w:w="100"/>
              <w:bottom w:type="dxa" w:w="70"/>
              <w:right w:type="dxa" w:w="100"/>
            </w:tcMar>
            <w:vAlign w:val="center"/>
          </w:tcPr>
          <w:p>
            <w:pPr>
              <w:spacing w:after="0" w:line="240"/>
              <w:jc w:val="right"/>
            </w:pPr>
          </w:p>
        </w:tc>
        <w:tc>
          <w:tcPr>
            <w:tcW w:type="dxa" w:w="1638"/>
            <w:tcMar>
              <w:top w:type="dxa" w:w="70"/>
              <w:left w:type="dxa" w:w="100"/>
              <w:bottom w:type="dxa" w:w="70"/>
              <w:right w:type="dxa" w:w="100"/>
            </w:tcMar>
            <w:vAlign w:val="center"/>
          </w:tcPr>
          <w:p>
            <w:pPr>
              <w:spacing w:after="0" w:line="240"/>
              <w:jc w:val="right"/>
            </w:pPr>
            <w:r>
              <w:rPr>
                <w:rFonts w:ascii="Calibri" w:cs="Calibri" w:eastAsia="Calibri" w:hAnsi="Calibri"/>
                <w:b/>
                <w:bCs/>
                <w:sz w:val="17"/>
                <w:szCs w:val="17"/>
              </w:rPr>
              <w:t xml:space="preserve">[AMOUNT]</w:t>
            </w:r>
          </w:p>
        </w:tc>
        <w:tc>
          <w:tcPr>
            <w:tcW w:type="dxa" w:w="2026"/>
            <w:tcMar>
              <w:top w:type="dxa" w:w="70"/>
              <w:left w:type="dxa" w:w="100"/>
              <w:bottom w:type="dxa" w:w="70"/>
              <w:right w:type="dxa" w:w="100"/>
            </w:tcMar>
            <w:vAlign w:val="center"/>
          </w:tcPr>
          <w:p>
            <w:pPr>
              <w:spacing w:after="0" w:line="240"/>
              <w:jc w:val="center"/>
            </w:pPr>
          </w:p>
        </w:tc>
      </w:tr>
    </w:tbl>
    <w:p>
      <w:pPr>
        <w:spacing w:after="160"/>
      </w:pPr>
    </w:p>
    <w:p>
      <w:pPr>
        <w:spacing w:after="160" w:before="0" w:line="276"/>
        <w:jc w:val="both"/>
      </w:pPr>
      <w:r>
        <w:rPr>
          <w:rFonts w:ascii="Calibri" w:cs="Calibri" w:eastAsia="Calibri" w:hAnsi="Calibri"/>
          <w:i/>
          <w:iCs/>
          <w:sz w:val="21"/>
          <w:szCs w:val="21"/>
        </w:rPr>
        <w:t xml:space="preserve">Employee contributions to the provident fund and other statutory deductions, and tax deducted at source, will continue to be deducted from your salary. Cost to company includes employer contributions and provisions and is therefore higher than the amount credited to you.</w:t>
      </w:r>
    </w:p>
    <w:p>
      <w:pPr>
        <w:keepNext/>
        <w:spacing w:after="120" w:before="280"/>
        <w:outlineLvl w:val="0"/>
      </w:pPr>
      <w:r>
        <w:rPr>
          <w:rFonts w:ascii="Calibri" w:cs="Calibri" w:eastAsia="Calibri" w:hAnsi="Calibri"/>
          <w:b/>
          <w:bCs/>
          <w:color w:val="14161B"/>
          <w:sz w:val="22"/>
          <w:szCs w:val="22"/>
        </w:rPr>
        <w:t xml:space="preserve">VARIABLE PAY</w:t>
      </w:r>
    </w:p>
    <w:p>
      <w:pPr>
        <w:spacing w:after="120" w:before="0" w:line="276"/>
        <w:jc w:val="both"/>
      </w:pPr>
      <w:r>
        <w:rPr>
          <w:rFonts w:ascii="Calibri" w:cs="Calibri" w:eastAsia="Calibri" w:hAnsi="Calibri"/>
          <w:sz w:val="21"/>
          <w:szCs w:val="21"/>
        </w:rPr>
        <w:t xml:space="preserve">Your variable pay for the coming period will be up to </w:t>
      </w:r>
      <w:r>
        <w:rPr>
          <w:rFonts w:ascii="Calibri" w:cs="Calibri" w:eastAsia="Calibri" w:hAnsi="Calibri"/>
          <w:b/>
          <w:bCs/>
          <w:sz w:val="21"/>
          <w:szCs w:val="21"/>
        </w:rPr>
        <w:t xml:space="preserve">[PERCENTAGE]</w:t>
      </w:r>
      <w:r>
        <w:rPr>
          <w:rFonts w:ascii="Calibri" w:cs="Calibri" w:eastAsia="Calibri" w:hAnsi="Calibri"/>
          <w:sz w:val="21"/>
          <w:szCs w:val="21"/>
        </w:rPr>
        <w:t xml:space="preserve"> per cent of your fixed annual pay, being </w:t>
      </w:r>
      <w:r>
        <w:rPr>
          <w:rFonts w:ascii="Calibri" w:cs="Calibri" w:eastAsia="Calibri" w:hAnsi="Calibri"/>
          <w:b/>
          <w:bCs/>
          <w:sz w:val="21"/>
          <w:szCs w:val="21"/>
        </w:rPr>
        <w:t xml:space="preserve">₹ </w:t>
      </w:r>
      <w:r>
        <w:rPr>
          <w:rFonts w:ascii="Calibri" w:cs="Calibri" w:eastAsia="Calibri" w:hAnsi="Calibri"/>
          <w:b/>
          <w:bCs/>
          <w:sz w:val="21"/>
          <w:szCs w:val="21"/>
        </w:rPr>
        <w:t xml:space="preserve">[AMOUNT]</w:t>
      </w:r>
      <w:r>
        <w:rPr>
          <w:rFonts w:ascii="Calibri" w:cs="Calibri" w:eastAsia="Calibri" w:hAnsi="Calibri"/>
          <w:sz w:val="21"/>
          <w:szCs w:val="21"/>
        </w:rPr>
        <w:t xml:space="preserve"> at full achievement, assessed against objectives to be agreed with your manager by </w:t>
      </w:r>
      <w:r>
        <w:rPr>
          <w:rFonts w:ascii="Calibri" w:cs="Calibri" w:eastAsia="Calibri" w:hAnsi="Calibri"/>
          <w:b/>
          <w:bCs/>
          <w:sz w:val="21"/>
          <w:szCs w:val="21"/>
        </w:rPr>
        <w:t xml:space="preserve">[DATE]</w:t>
      </w:r>
      <w:r>
        <w:rPr>
          <w:rFonts w:ascii="Calibri" w:cs="Calibri" w:eastAsia="Calibri" w:hAnsi="Calibri"/>
          <w:sz w:val="21"/>
          <w:szCs w:val="21"/>
        </w:rPr>
        <w:t xml:space="preserve"> and payable in accordance with the Company’s policy.</w:t>
      </w:r>
    </w:p>
    <w:p>
      <w:pPr>
        <w:spacing w:after="160" w:before="0" w:line="276"/>
        <w:jc w:val="both"/>
      </w:pPr>
      <w:r>
        <w:rPr>
          <w:rFonts w:ascii="Calibri" w:cs="Calibri" w:eastAsia="Calibri" w:hAnsi="Calibri"/>
          <w:b/>
          <w:bCs/>
          <w:sz w:val="21"/>
          <w:szCs w:val="21"/>
        </w:rPr>
        <w:t xml:space="preserve">[Your variable pay for the period just concluded has been assessed at ₹ ______, being ______ per cent of the maximum, and will be paid with your salary for ______.]</w:t>
      </w:r>
    </w:p>
    <w:p>
      <w:pPr>
        <w:spacing w:after="160" w:before="0" w:line="276"/>
        <w:jc w:val="both"/>
      </w:pPr>
      <w:r>
        <w:rPr>
          <w:rFonts w:ascii="Calibri" w:cs="Calibri" w:eastAsia="Calibri" w:hAnsi="Calibri"/>
          <w:b/>
          <w:bCs/>
          <w:sz w:val="21"/>
          <w:szCs w:val="21"/>
        </w:rPr>
        <w:t xml:space="preserve">[Where the letter records a promotion]</w:t>
      </w:r>
      <w:r>
        <w:rPr>
          <w:rFonts w:ascii="Calibri" w:cs="Calibri" w:eastAsia="Calibri" w:hAnsi="Calibri"/>
          <w:sz w:val="21"/>
          <w:szCs w:val="21"/>
        </w:rPr>
        <w:t xml:space="preserve"> In your new role you will be responsible for </w:t>
      </w:r>
      <w:r>
        <w:rPr>
          <w:rFonts w:ascii="Calibri" w:cs="Calibri" w:eastAsia="Calibri" w:hAnsi="Calibri"/>
          <w:b/>
          <w:bCs/>
          <w:sz w:val="21"/>
          <w:szCs w:val="21"/>
        </w:rPr>
        <w:t xml:space="preserve">[DESCRIBE THE EXPANDED SCOPE]</w:t>
      </w:r>
      <w:r>
        <w:rPr>
          <w:rFonts w:ascii="Calibri" w:cs="Calibri" w:eastAsia="Calibri" w:hAnsi="Calibri"/>
          <w:sz w:val="21"/>
          <w:szCs w:val="21"/>
        </w:rPr>
        <w:t xml:space="preserve">. Your revised notice period is </w:t>
      </w:r>
      <w:r>
        <w:rPr>
          <w:rFonts w:ascii="Calibri" w:cs="Calibri" w:eastAsia="Calibri" w:hAnsi="Calibri"/>
          <w:b/>
          <w:bCs/>
          <w:sz w:val="21"/>
          <w:szCs w:val="21"/>
        </w:rPr>
        <w:t xml:space="preserve">[NUMBER]</w:t>
      </w:r>
      <w:r>
        <w:rPr>
          <w:rFonts w:ascii="Calibri" w:cs="Calibri" w:eastAsia="Calibri" w:hAnsi="Calibri"/>
          <w:sz w:val="21"/>
          <w:szCs w:val="21"/>
        </w:rPr>
        <w:t xml:space="preserve"> months. All other terms of your employment, as set out in your letter of appointment and in the Company’s policies as amended from time to time, remain unchanged.</w:t>
      </w:r>
    </w:p>
    <w:p>
      <w:pPr>
        <w:spacing w:after="160" w:before="0" w:line="276"/>
        <w:jc w:val="both"/>
      </w:pPr>
      <w:r>
        <w:rPr>
          <w:rFonts w:ascii="Calibri" w:cs="Calibri" w:eastAsia="Calibri" w:hAnsi="Calibri"/>
          <w:b/>
          <w:bCs/>
          <w:sz w:val="21"/>
          <w:szCs w:val="21"/>
        </w:rPr>
        <w:t xml:space="preserve">[OPTIONAL — two or three specific sentences on what earned this, and what the focus should be for the coming period. Worth writing; a bare number is a missed opportunity.]</w:t>
      </w:r>
    </w:p>
    <w:p>
      <w:pPr>
        <w:spacing w:after="140" w:before="0" w:line="276"/>
        <w:jc w:val="both"/>
      </w:pPr>
      <w:r>
        <w:rPr>
          <w:rFonts w:ascii="Calibri" w:cs="Calibri" w:eastAsia="Calibri" w:hAnsi="Calibri"/>
          <w:sz w:val="21"/>
          <w:szCs w:val="21"/>
        </w:rPr>
        <w:t xml:space="preserve">This letter is personal and confidential to you. Please treat its contents accordingly.</w:t>
      </w:r>
    </w:p>
    <w:p>
      <w:pPr>
        <w:spacing w:after="200" w:before="0" w:line="276"/>
        <w:jc w:val="both"/>
      </w:pPr>
      <w:r>
        <w:rPr>
          <w:rFonts w:ascii="Calibri" w:cs="Calibri" w:eastAsia="Calibri" w:hAnsi="Calibri"/>
          <w:sz w:val="21"/>
          <w:szCs w:val="21"/>
        </w:rPr>
        <w:t xml:space="preserve">Thank you for your contribution. We look forward to the year ahead.</w:t>
      </w:r>
    </w:p>
    <w:p>
      <w:pPr>
        <w:spacing w:after="40" w:before="0" w:line="276"/>
        <w:jc w:val="both"/>
      </w:pPr>
      <w:r>
        <w:rPr>
          <w:rFonts w:ascii="Calibri" w:cs="Calibri" w:eastAsia="Calibri" w:hAnsi="Calibri"/>
          <w:sz w:val="21"/>
          <w:szCs w:val="21"/>
        </w:rPr>
        <w:t xml:space="preserve">Yours sincerely,</w:t>
      </w:r>
    </w:p>
    <w:p>
      <w:pPr>
        <w:spacing w:after="220" w:before="0" w:line="276"/>
        <w:jc w:val="both"/>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40" w:before="0" w:line="276"/>
        <w:jc w:val="both"/>
      </w:pPr>
      <w:r>
        <w:rPr>
          <w:rFonts w:ascii="Calibri" w:cs="Calibri" w:eastAsia="Calibri" w:hAnsi="Calibri"/>
          <w:sz w:val="21"/>
          <w:szCs w:val="21"/>
        </w:rPr>
        <w:t xml:space="preserve">_______________________________</w:t>
      </w:r>
    </w:p>
    <w:p>
      <w:pPr>
        <w:spacing w:after="200" w:before="0" w:line="276"/>
        <w:jc w:val="both"/>
      </w:pPr>
      <w:r>
        <w:rPr>
          <w:rFonts w:ascii="Calibri" w:cs="Calibri" w:eastAsia="Calibri" w:hAnsi="Calibri"/>
          <w:b/>
          <w:bCs/>
          <w:sz w:val="21"/>
          <w:szCs w:val="21"/>
        </w:rPr>
        <w:t xml:space="preserve">[NAME]</w:t>
      </w:r>
      <w:r>
        <w:rPr>
          <w:rFonts w:ascii="Calibri" w:cs="Calibri" w:eastAsia="Calibri" w:hAnsi="Calibri"/>
          <w:sz w:val="21"/>
          <w:szCs w:val="21"/>
        </w:rPr>
        <w:t xml:space="preserve">  </w:t>
      </w:r>
      <w:r>
        <w:rPr>
          <w:rFonts w:ascii="Calibri" w:cs="Calibri" w:eastAsia="Calibri" w:hAnsi="Calibri"/>
          <w:b/>
          <w:bCs/>
          <w:sz w:val="21"/>
          <w:szCs w:val="21"/>
        </w:rPr>
        <w:t xml:space="preserve">[DESIGNATION]</w:t>
      </w:r>
    </w:p>
    <w:p>
      <w:pPr>
        <w:spacing w:after="18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receipt of this letter and accept the revised terms set out in it.</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r>
              <w:rPr>
                <w:rFonts w:ascii="Calibri" w:cs="Calibri" w:eastAsia="Calibri" w:hAnsi="Calibri"/>
                <w:sz w:val="21"/>
                <w:szCs w:val="21"/>
              </w:rPr>
              <w:t xml:space="preserve">  Place: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Rebuild the structure, do not scale the allowance</w:t>
      </w:r>
    </w:p>
    <w:p>
      <w:pPr>
        <w:spacing w:after="60" w:line="264"/>
        <w:jc w:val="both"/>
      </w:pPr>
      <w:r>
        <w:rPr>
          <w:rFonts w:ascii="Calibri" w:cs="Calibri" w:eastAsia="Calibri" w:hAnsi="Calibri"/>
          <w:sz w:val="19"/>
          <w:szCs w:val="19"/>
        </w:rPr>
        <w:t xml:space="preserve">The most common payroll error at increment time is to leave basic salary unchanged and put the whole increase into special allowance, because that historically minimised provident fund and gratuity. Under the consolidated definition of wages, components excluded from wages cannot exceed half of total remuneration, and the excess is added back and treated as wages anyway. The percentage line in the salary table appears for both the present and the revised structure so the check is visible on the face of the letter. Complete both.</w:t>
      </w:r>
    </w:p>
    <w:p>
      <w:pPr>
        <w:keepNext/>
        <w:spacing w:after="40" w:before="140"/>
      </w:pPr>
      <w:r>
        <w:rPr>
          <w:rFonts w:ascii="Calibri" w:cs="Calibri" w:eastAsia="Calibri" w:hAnsi="Calibri"/>
          <w:b/>
          <w:bCs/>
          <w:color w:val="14161B"/>
          <w:sz w:val="20"/>
          <w:szCs w:val="20"/>
        </w:rPr>
        <w:t xml:space="preserve">Every statutory computation moves with basic</w:t>
      </w:r>
    </w:p>
    <w:p>
      <w:pPr>
        <w:spacing w:after="60" w:line="264"/>
        <w:jc w:val="both"/>
      </w:pPr>
      <w:r>
        <w:rPr>
          <w:rFonts w:ascii="Calibri" w:cs="Calibri" w:eastAsia="Calibri" w:hAnsi="Calibri"/>
          <w:sz w:val="19"/>
          <w:szCs w:val="19"/>
        </w:rPr>
        <w:t xml:space="preserve">Provident fund contributions, gratuity accrual, leave encashment, overtime and retrenchment compensation are all computed on wages as statutorily defined. An increment therefore increases those liabilities, and the increase should be modelled before the letter is issued rather than discovered at year end or on an exit.</w:t>
      </w:r>
    </w:p>
    <w:p>
      <w:pPr>
        <w:keepNext/>
        <w:spacing w:after="40" w:before="140"/>
      </w:pPr>
      <w:r>
        <w:rPr>
          <w:rFonts w:ascii="Calibri" w:cs="Calibri" w:eastAsia="Calibri" w:hAnsi="Calibri"/>
          <w:b/>
          <w:bCs/>
          <w:color w:val="14161B"/>
          <w:sz w:val="20"/>
          <w:szCs w:val="20"/>
        </w:rPr>
        <w:t xml:space="preserve">Effective date and payment date are different</w:t>
      </w:r>
    </w:p>
    <w:p>
      <w:pPr>
        <w:spacing w:after="60" w:line="264"/>
        <w:jc w:val="both"/>
      </w:pPr>
      <w:r>
        <w:rPr>
          <w:rFonts w:ascii="Calibri" w:cs="Calibri" w:eastAsia="Calibri" w:hAnsi="Calibri"/>
          <w:sz w:val="19"/>
          <w:szCs w:val="19"/>
        </w:rPr>
        <w:t xml:space="preserve">Where an increment is effective from a date earlier than the letter, say so, and state when arrears will be paid. Employees reasonably expect arrears from the effective date, and silence on the point generates avoidable queries and a sense that something has been withheld.</w:t>
      </w:r>
    </w:p>
    <w:p>
      <w:pPr>
        <w:keepNext/>
        <w:spacing w:after="40" w:before="140"/>
      </w:pPr>
      <w:r>
        <w:rPr>
          <w:rFonts w:ascii="Calibri" w:cs="Calibri" w:eastAsia="Calibri" w:hAnsi="Calibri"/>
          <w:b/>
          <w:bCs/>
          <w:color w:val="14161B"/>
          <w:sz w:val="20"/>
          <w:szCs w:val="20"/>
        </w:rPr>
        <w:t xml:space="preserve">Promotion and increment are separable</w:t>
      </w:r>
    </w:p>
    <w:p>
      <w:pPr>
        <w:spacing w:after="60" w:line="264"/>
        <w:jc w:val="both"/>
      </w:pPr>
      <w:r>
        <w:rPr>
          <w:rFonts w:ascii="Calibri" w:cs="Calibri" w:eastAsia="Calibri" w:hAnsi="Calibri"/>
          <w:sz w:val="19"/>
          <w:szCs w:val="19"/>
        </w:rPr>
        <w:t xml:space="preserve">A promotion may change the designation, the scope, the reporting line and the notice period without necessarily changing pay by the same proportion, and a pay increase may be granted without a promotion. Where both happen together, say what each element is. Where the notice period changes on promotion, flag it — employees frequently do not notice, and it matters on exit.</w:t>
      </w:r>
    </w:p>
    <w:p>
      <w:pPr>
        <w:keepNext/>
        <w:spacing w:after="40" w:before="140"/>
      </w:pPr>
      <w:r>
        <w:rPr>
          <w:rFonts w:ascii="Calibri" w:cs="Calibri" w:eastAsia="Calibri" w:hAnsi="Calibri"/>
          <w:b/>
          <w:bCs/>
          <w:color w:val="14161B"/>
          <w:sz w:val="20"/>
          <w:szCs w:val="20"/>
        </w:rPr>
        <w:t xml:space="preserve">Say something specific</w:t>
      </w:r>
    </w:p>
    <w:p>
      <w:pPr>
        <w:spacing w:after="60" w:line="264"/>
        <w:jc w:val="both"/>
      </w:pPr>
      <w:r>
        <w:rPr>
          <w:rFonts w:ascii="Calibri" w:cs="Calibri" w:eastAsia="Calibri" w:hAnsi="Calibri"/>
          <w:sz w:val="19"/>
          <w:szCs w:val="19"/>
        </w:rPr>
        <w:t xml:space="preserve">The optional paragraph is worth the two minutes. A letter that communicates only a number leaves the employee to infer the reasoning, and inference is usually less generous than the reality. Naming what earned the increase is the cheapest recognition available.</w:t>
      </w:r>
    </w:p>
    <w:p>
      <w:pPr>
        <w:keepNext/>
        <w:spacing w:after="40" w:before="140"/>
      </w:pPr>
      <w:r>
        <w:rPr>
          <w:rFonts w:ascii="Calibri" w:cs="Calibri" w:eastAsia="Calibri" w:hAnsi="Calibri"/>
          <w:b/>
          <w:bCs/>
          <w:color w:val="14161B"/>
          <w:sz w:val="20"/>
          <w:szCs w:val="20"/>
        </w:rPr>
        <w:t xml:space="preserve">Cost to company is not take-home</w:t>
      </w:r>
    </w:p>
    <w:p>
      <w:pPr>
        <w:spacing w:after="60" w:line="264"/>
        <w:jc w:val="both"/>
      </w:pPr>
      <w:r>
        <w:rPr>
          <w:rFonts w:ascii="Calibri" w:cs="Calibri" w:eastAsia="Calibri" w:hAnsi="Calibri"/>
          <w:sz w:val="19"/>
          <w:szCs w:val="19"/>
        </w:rPr>
        <w:t xml:space="preserve">The note under the table repeats the point made at offer stage because it is repeatedly misread. An employee who sees a large increase in cost to company and a small increase in the amount credited will assume an error unless the difference is explained.</w:t>
      </w:r>
    </w:p>
    <w:p>
      <w:pPr>
        <w:keepNext/>
        <w:spacing w:after="40" w:before="140"/>
      </w:pPr>
      <w:r>
        <w:rPr>
          <w:rFonts w:ascii="Calibri" w:cs="Calibri" w:eastAsia="Calibri" w:hAnsi="Calibri"/>
          <w:b/>
          <w:bCs/>
          <w:color w:val="14161B"/>
          <w:sz w:val="20"/>
          <w:szCs w:val="20"/>
        </w:rPr>
        <w:t xml:space="preserve">Set the objectives at the same time</w:t>
      </w:r>
    </w:p>
    <w:p>
      <w:pPr>
        <w:spacing w:after="60" w:line="264"/>
        <w:jc w:val="both"/>
      </w:pPr>
      <w:r>
        <w:rPr>
          <w:rFonts w:ascii="Calibri" w:cs="Calibri" w:eastAsia="Calibri" w:hAnsi="Calibri"/>
          <w:sz w:val="19"/>
          <w:szCs w:val="19"/>
        </w:rPr>
        <w:t xml:space="preserve">Variable pay assessed against objectives that were never agreed is the most disputed element of pay. The letter sets a date by which objectives must be agreed. Diarise it; objectives set in month nine of a twelve-month cycle are not objectives.</w:t>
      </w:r>
    </w:p>
    <w:p>
      <w:pPr>
        <w:keepNext/>
        <w:spacing w:after="40" w:before="140"/>
      </w:pPr>
      <w:r>
        <w:rPr>
          <w:rFonts w:ascii="Calibri" w:cs="Calibri" w:eastAsia="Calibri" w:hAnsi="Calibri"/>
          <w:b/>
          <w:bCs/>
          <w:color w:val="14161B"/>
          <w:sz w:val="20"/>
          <w:szCs w:val="20"/>
        </w:rPr>
        <w:t xml:space="preserve">Confidentiality of pay is a request, not a prohibition</w:t>
      </w:r>
    </w:p>
    <w:p>
      <w:pPr>
        <w:spacing w:after="60" w:line="264"/>
        <w:jc w:val="both"/>
      </w:pPr>
      <w:r>
        <w:rPr>
          <w:rFonts w:ascii="Calibri" w:cs="Calibri" w:eastAsia="Calibri" w:hAnsi="Calibri"/>
          <w:sz w:val="19"/>
          <w:szCs w:val="19"/>
        </w:rPr>
        <w:t xml:space="preserve">Marking the letter confidential is normal. Treating an employee discussing their own pay as misconduct is not defensible and should not be attempted. The confidentiality line asks for discretion; it should not be drafted or enforced as a gag.</w:t>
      </w:r>
    </w:p>
    <w:p>
      <w:pPr>
        <w:keepNext/>
        <w:spacing w:after="40" w:before="140"/>
      </w:pPr>
      <w:r>
        <w:rPr>
          <w:rFonts w:ascii="Calibri" w:cs="Calibri" w:eastAsia="Calibri" w:hAnsi="Calibri"/>
          <w:b/>
          <w:bCs/>
          <w:color w:val="14161B"/>
          <w:sz w:val="20"/>
          <w:szCs w:val="20"/>
        </w:rPr>
        <w:t xml:space="preserve">Update the records the same day</w:t>
      </w:r>
    </w:p>
    <w:p>
      <w:pPr>
        <w:spacing w:after="60" w:line="264"/>
        <w:jc w:val="both"/>
      </w:pPr>
      <w:r>
        <w:rPr>
          <w:rFonts w:ascii="Calibri" w:cs="Calibri" w:eastAsia="Calibri" w:hAnsi="Calibri"/>
          <w:sz w:val="19"/>
          <w:szCs w:val="19"/>
        </w:rPr>
        <w:t xml:space="preserve">Payroll master, provident fund contribution base, gratuity provision, insurance sum insured where it is linked to salary, the employee register and any system-held notice period all need updating. A letter issued but not reflected in payroll produces an underpayment in the first month and an awkward conversation in the second.</w:t>
      </w:r>
    </w:p>
    <w:p>
      <w:pPr>
        <w:keepNext/>
        <w:spacing w:after="40" w:before="140"/>
      </w:pPr>
      <w:r>
        <w:rPr>
          <w:rFonts w:ascii="Calibri" w:cs="Calibri" w:eastAsia="Calibri" w:hAnsi="Calibri"/>
          <w:b/>
          <w:bCs/>
          <w:color w:val="14161B"/>
          <w:sz w:val="20"/>
          <w:szCs w:val="20"/>
        </w:rPr>
        <w:t xml:space="preserve">Non-discrimination</w:t>
      </w:r>
    </w:p>
    <w:p>
      <w:pPr>
        <w:spacing w:after="60" w:line="264"/>
        <w:jc w:val="both"/>
      </w:pPr>
      <w:r>
        <w:rPr>
          <w:rFonts w:ascii="Calibri" w:cs="Calibri" w:eastAsia="Calibri" w:hAnsi="Calibri"/>
          <w:sz w:val="19"/>
          <w:szCs w:val="19"/>
        </w:rPr>
        <w:t xml:space="preserve">Increment decisions should be capable of being explained by reference to the performance and the framework applied. Where an increment cycle produces materially different outcomes for comparable roles, the reasoning should exist in writing somewhere, because it is exactly what a later complaint will test.</w:t>
      </w:r>
    </w:p>
    <w:p>
      <w:pPr>
        <w:keepNext/>
        <w:spacing w:after="40" w:before="140"/>
      </w:pPr>
      <w:r>
        <w:rPr>
          <w:rFonts w:ascii="Calibri" w:cs="Calibri" w:eastAsia="Calibri" w:hAnsi="Calibri"/>
          <w:b/>
          <w:bCs/>
          <w:color w:val="14161B"/>
          <w:sz w:val="20"/>
          <w:szCs w:val="20"/>
        </w:rPr>
        <w:t xml:space="preserve">Statutory minimum wages</w:t>
      </w:r>
    </w:p>
    <w:p>
      <w:pPr>
        <w:spacing w:after="60" w:line="264"/>
        <w:jc w:val="both"/>
      </w:pPr>
      <w:r>
        <w:rPr>
          <w:rFonts w:ascii="Calibri" w:cs="Calibri" w:eastAsia="Calibri" w:hAnsi="Calibri"/>
          <w:sz w:val="19"/>
          <w:szCs w:val="19"/>
        </w:rPr>
        <w:t xml:space="preserve">Whatever the structure, the wages payable must not fall below the applicable statutory floor for the category of work and the State. Check the revised basic against the current floor, particularly for entry-level roles where an allowance-heavy structure can leave the wage component surprisingly low.</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Wage definitions, contribution bases and statutory floors change — have the salary structure reviewed by a payroll specialist before an increment cycle is run.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2026-08-21T12:53:55.088Z</dcterms:created>
  <dcterms:modified xsi:type="dcterms:W3CDTF">2026-08-21T12:53:55.088Z</dcterms:modified>
</cp:coreProperties>
</file>

<file path=docProps/custom.xml><?xml version="1.0" encoding="utf-8"?>
<Properties xmlns="http://schemas.openxmlformats.org/officeDocument/2006/custom-properties" xmlns:vt="http://schemas.openxmlformats.org/officeDocument/2006/docPropsVTypes"/>
</file>