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APPLICATION FOR PAYMENT OF GRATUITY</w:t>
      </w:r>
    </w:p>
    <w:p>
      <w:pPr>
        <w:spacing w:after="260"/>
        <w:jc w:val="center"/>
      </w:pPr>
      <w:r>
        <w:rPr>
          <w:rFonts w:ascii="Calibri" w:cs="Calibri" w:eastAsia="Calibri" w:hAnsi="Calibri"/>
          <w:i/>
          <w:iCs/>
          <w:color w:val="6E7480"/>
          <w:sz w:val="19"/>
          <w:szCs w:val="19"/>
        </w:rPr>
        <w:t xml:space="preserve">By an employee, nominee or legal heir</w:t>
      </w:r>
    </w:p>
    <w:p>
      <w:pPr>
        <w:spacing w:after="180" w:before="0" w:line="276"/>
        <w:jc w:val="both"/>
      </w:pPr>
      <w:r>
        <w:rPr>
          <w:rFonts w:ascii="Calibri" w:cs="Calibri" w:eastAsia="Calibri" w:hAnsi="Calibri"/>
          <w:i/>
          <w:iCs/>
          <w:color w:val="6E7480"/>
          <w:sz w:val="21"/>
          <w:szCs w:val="21"/>
        </w:rPr>
        <w:t xml:space="preserve">Gratuity is payable whether or not an application is made — the obligation to determine and pay it sits with the employer once it becomes payable. An application starts the clock formally and creates a record, and an employer who waits for one before doing anything has misunderstood the obligation.</w:t>
      </w:r>
    </w:p>
    <w:p>
      <w:pPr>
        <w:spacing w:after="40" w:before="0" w:line="276"/>
        <w:jc w:val="both"/>
      </w:pPr>
      <w:r>
        <w:rPr>
          <w:rFonts w:ascii="Calibri" w:cs="Calibri" w:eastAsia="Calibri" w:hAnsi="Calibri"/>
          <w:b/>
          <w:bCs/>
          <w:sz w:val="21"/>
          <w:szCs w:val="21"/>
        </w:rPr>
        <w:t xml:space="preserve">To the Employer</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w:t>
      </w:r>
      <w:r>
        <w:rPr>
          <w:rFonts w:ascii="Calibri" w:cs="Calibri" w:eastAsia="Calibri" w:hAnsi="Calibri"/>
          <w:b/>
          <w:bCs/>
          <w:sz w:val="21"/>
          <w:szCs w:val="21"/>
        </w:rPr>
        <w:t xml:space="preserve">[ADDRESS OF THE ESTABLISHMENT]</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Subject: Application for payment of gratuity</w:t>
      </w:r>
    </w:p>
    <w:p>
      <w:pPr>
        <w:spacing w:after="120" w:before="0" w:line="276"/>
        <w:jc w:val="both"/>
      </w:pPr>
      <w:r>
        <w:rPr>
          <w:rFonts w:ascii="Calibri" w:cs="Calibri" w:eastAsia="Calibri" w:hAnsi="Calibri"/>
          <w:sz w:val="21"/>
          <w:szCs w:val="21"/>
        </w:rPr>
        <w:t xml:space="preserve">Sir or Madam,</w:t>
      </w:r>
    </w:p>
    <w:p>
      <w:pPr>
        <w:spacing w:after="160" w:before="0" w:line="276"/>
        <w:jc w:val="both"/>
      </w:pPr>
      <w:r>
        <w:rPr>
          <w:rFonts w:ascii="Calibri" w:cs="Calibri" w:eastAsia="Calibri" w:hAnsi="Calibri"/>
          <w:sz w:val="21"/>
          <w:szCs w:val="21"/>
        </w:rPr>
        <w:t xml:space="preserve">I apply for payment of the gratuity payable in respect of the employment described below. The particulars required are given, and the documents listed are enclosed.</w:t>
      </w:r>
    </w:p>
    <w:p>
      <w:pPr>
        <w:keepNext/>
        <w:spacing w:after="120" w:before="280"/>
        <w:outlineLvl w:val="0"/>
      </w:pPr>
      <w:r>
        <w:rPr>
          <w:rFonts w:ascii="Calibri" w:cs="Calibri" w:eastAsia="Calibri" w:hAnsi="Calibri"/>
          <w:b/>
          <w:bCs/>
          <w:color w:val="14161B"/>
          <w:sz w:val="22"/>
          <w:szCs w:val="22"/>
        </w:rPr>
        <w:t xml:space="preserve">1. CAPACITY IN WHICH THE APPLICATION IS MADE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963"/>
        <w:gridCol w:w="3856"/>
      </w:tblGrid>
      <w:tr>
        <w:trPr>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Applicant is</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Tick</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Additional documents required</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employee, on resignation, retirement, superannuation or termination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identity; bank details</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employee, on disablement due to accident or disease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certificate of disablement</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nominee, on the death of the employee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Death certificate; nomination on record; proof of identity</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legal heir, where no nomination is on record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Death certificate; legal heir or succession certificate; proof of relationship</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guardian, on behalf of a minor nominee or heir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guardianship; birth certificate of the minor</w:t>
            </w:r>
          </w:p>
        </w:tc>
      </w:tr>
    </w:tbl>
    <w:p>
      <w:pPr>
        <w:spacing w:after="160"/>
      </w:pPr>
    </w:p>
    <w:p>
      <w:pPr>
        <w:keepNext/>
        <w:spacing w:after="120" w:before="280"/>
        <w:outlineLvl w:val="0"/>
      </w:pPr>
      <w:r>
        <w:rPr>
          <w:rFonts w:ascii="Calibri" w:cs="Calibri" w:eastAsia="Calibri" w:hAnsi="Calibri"/>
          <w:b/>
          <w:bCs/>
          <w:color w:val="14161B"/>
          <w:sz w:val="22"/>
          <w:szCs w:val="22"/>
        </w:rPr>
        <w:t xml:space="preserve">2. PARTICULARS OF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 of the employee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[Son / daughter / wife of]</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Establishment and place of work</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cessation of employment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period of continuous service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 </w:t>
            </w:r>
            <w:r>
              <w:rPr>
                <w:rFonts w:ascii="Calibri" w:cs="Calibri" w:eastAsia="Calibri" w:hAnsi="Calibri"/>
                <w:b/>
                <w:bCs/>
                <w:sz w:val="19"/>
                <w:szCs w:val="19"/>
              </w:rPr>
              <w:t xml:space="preserve">[DAYS]</w:t>
            </w:r>
            <w:r>
              <w:rPr>
                <w:rFonts w:ascii="Calibri" w:cs="Calibri" w:eastAsia="Calibri" w:hAnsi="Calibri"/>
                <w:sz w:val="19"/>
                <w:szCs w:val="19"/>
              </w:rPr>
              <w:t xml:space="preserve"> days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cessation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Retirement / Superannuation / Termination / Death / Disablement]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drawn wages as statutorily defined, per month</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[UAN]</w:t>
            </w:r>
          </w:p>
        </w:tc>
      </w:tr>
    </w:tbl>
    <w:p>
      <w:pPr>
        <w:spacing w:after="160"/>
      </w:pPr>
    </w:p>
    <w:p>
      <w:pPr>
        <w:keepNext/>
        <w:spacing w:after="120" w:before="280"/>
        <w:outlineLvl w:val="0"/>
      </w:pPr>
      <w:r>
        <w:rPr>
          <w:rFonts w:ascii="Calibri" w:cs="Calibri" w:eastAsia="Calibri" w:hAnsi="Calibri"/>
          <w:b/>
          <w:bCs/>
          <w:color w:val="14161B"/>
          <w:sz w:val="22"/>
          <w:szCs w:val="22"/>
        </w:rPr>
        <w:t xml:space="preserve">3. PARTICULARS OF THE APPLICANT</w:t>
      </w:r>
    </w:p>
    <w:p>
      <w:pPr>
        <w:spacing w:after="120" w:before="0" w:line="276"/>
        <w:jc w:val="both"/>
      </w:pPr>
      <w:r>
        <w:rPr>
          <w:rFonts w:ascii="Calibri" w:cs="Calibri" w:eastAsia="Calibri" w:hAnsi="Calibri"/>
          <w:i/>
          <w:iCs/>
          <w:sz w:val="21"/>
          <w:szCs w:val="21"/>
        </w:rPr>
        <w:t xml:space="preserve">Complete only where the applicant is not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 of the applicant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 to the employee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[RELATIONSHIP]</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named in the nomination on record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nomination dated ______ / No]</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claimed as per the nomination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 details</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r>
              <w:rPr>
                <w:rFonts w:ascii="Calibri" w:cs="Calibri" w:eastAsia="Calibri" w:hAnsi="Calibri"/>
                <w:sz w:val="19"/>
                <w:szCs w:val="19"/>
              </w:rPr>
              <w:t xml:space="preserve"> / </w:t>
            </w:r>
            <w:r>
              <w:rPr>
                <w:rFonts w:ascii="Calibri" w:cs="Calibri" w:eastAsia="Calibri" w:hAnsi="Calibri"/>
                <w:b/>
                <w:bCs/>
                <w:sz w:val="19"/>
                <w:szCs w:val="19"/>
              </w:rPr>
              <w:t xml:space="preserve">[EMAIL]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bl>
    <w:p>
      <w:pPr>
        <w:spacing w:after="160"/>
      </w:pPr>
    </w:p>
    <w:p>
      <w:pPr>
        <w:keepNext/>
        <w:spacing w:after="120" w:before="280"/>
        <w:outlineLvl w:val="0"/>
      </w:pPr>
      <w:r>
        <w:rPr>
          <w:rFonts w:ascii="Calibri" w:cs="Calibri" w:eastAsia="Calibri" w:hAnsi="Calibri"/>
          <w:b/>
          <w:bCs/>
          <w:color w:val="14161B"/>
          <w:sz w:val="22"/>
          <w:szCs w:val="22"/>
        </w:rPr>
        <w:t xml:space="preserve">4. PAYMENT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payment requested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transfer / Demand draft]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holder name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and branch</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IFSC</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to which any communication should be sent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bl>
    <w:p>
      <w:pPr>
        <w:spacing w:after="160"/>
      </w:pPr>
    </w:p>
    <w:p>
      <w:pPr>
        <w:keepNext/>
        <w:spacing w:after="120" w:before="280"/>
        <w:outlineLvl w:val="0"/>
      </w:pPr>
      <w:r>
        <w:rPr>
          <w:rFonts w:ascii="Calibri" w:cs="Calibri" w:eastAsia="Calibri" w:hAnsi="Calibri"/>
          <w:b/>
          <w:bCs/>
          <w:color w:val="14161B"/>
          <w:sz w:val="22"/>
          <w:szCs w:val="22"/>
        </w:rPr>
        <w:t xml:space="preserve">5. ENCLOSURES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324"/>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Enclosed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identity of the applicant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the applicant’s bank account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of the relieving letter or termination letter, where applicable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Death certificate, where the application is made on the death of the employee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heir or succession certificate, where no nomination is on record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relationship to the employee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certificate of disablement, where applicable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guardianship and birth certificate, where the claim is on behalf of a minor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 specify]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spacing w:after="200" w:before="0" w:line="276"/>
        <w:jc w:val="both"/>
      </w:pPr>
      <w:r>
        <w:rPr>
          <w:rFonts w:ascii="Calibri" w:cs="Calibri" w:eastAsia="Calibri" w:hAnsi="Calibri"/>
          <w:sz w:val="21"/>
          <w:szCs w:val="21"/>
        </w:rPr>
        <w:t xml:space="preserve">I declare that the particulars given above are true to the best of my knowledge and belief.</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[APPLICANT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and address: </w:t>
            </w:r>
            <w:r>
              <w:rPr>
                <w:rFonts w:ascii="Calibri" w:cs="Calibri" w:eastAsia="Calibri" w:hAnsi="Calibri"/>
                <w:b/>
                <w:bCs/>
                <w:sz w:val="21"/>
                <w:szCs w:val="21"/>
              </w:rPr>
              <w:t xml:space="preserve">[DETAILS]</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FOR EMPLOYER USE — DETERMINATION AND NOTICE</w:t>
      </w:r>
    </w:p>
    <w:p>
      <w:pPr>
        <w:spacing w:after="140" w:before="0" w:line="276"/>
        <w:jc w:val="both"/>
      </w:pPr>
      <w:r>
        <w:rPr>
          <w:rFonts w:ascii="Calibri" w:cs="Calibri" w:eastAsia="Calibri" w:hAnsi="Calibri"/>
          <w:i/>
          <w:iCs/>
          <w:sz w:val="21"/>
          <w:szCs w:val="21"/>
        </w:rPr>
        <w:t xml:space="preserve">The employer must determine the amount of gratuity as soon as it becomes payable, whether or not an application has been made, and give notice of the amount to the person entitled and to the controlling authority.</w:t>
      </w:r>
    </w:p>
    <w:p>
      <w:pPr>
        <w:keepNext/>
        <w:spacing w:after="100" w:before="200"/>
        <w:outlineLvl w:val="1"/>
      </w:pPr>
      <w:r>
        <w:rPr>
          <w:rFonts w:ascii="Calibri" w:cs="Calibri" w:eastAsia="Calibri" w:hAnsi="Calibri"/>
          <w:b/>
          <w:bCs/>
          <w:color w:val="14161B"/>
          <w:sz w:val="21"/>
          <w:szCs w:val="21"/>
        </w:rPr>
        <w:t xml:space="preserve">Computation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5975"/>
        <w:gridCol w:w="2892"/>
      </w:tblGrid>
      <w:tr>
        <w:trPr>
          <w:tblHeader/>
        </w:trPr>
        <w:tc>
          <w:tcPr>
            <w:tcW w:type="dxa" w:w="77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Step</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289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drawn wages per month, as statutorily defined</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Daily wage (step 1 ÷ 26)</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Completed years of continuous service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 of a year exceeding six months, treated as a completed year</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Years taken for computation</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(step 2 × 15 × step 5)</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Statutory ceiling applicable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payable, being the lower of step 6 and step 7</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forfeited, if any, with the reason and the order</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 </w:t>
            </w:r>
            <w:r>
              <w:rPr>
                <w:rFonts w:ascii="Calibri" w:cs="Calibri" w:eastAsia="Calibri" w:hAnsi="Calibri"/>
                <w:b/>
                <w:bCs/>
                <w:sz w:val="19"/>
                <w:szCs w:val="19"/>
              </w:rPr>
              <w:t xml:space="preserve">[REASON]</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Net gratuity payable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Apportionment among nominees, where more than one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[SET OUT PER NOMINEE]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deducted at source, if any</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Net amount paid</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bl>
    <w:p>
      <w:pPr>
        <w:spacing w:after="160"/>
      </w:pPr>
    </w:p>
    <w:p>
      <w:pPr>
        <w:keepNext/>
        <w:spacing w:after="100" w:before="200"/>
        <w:outlineLvl w:val="1"/>
      </w:pPr>
      <w:r>
        <w:rPr>
          <w:rFonts w:ascii="Calibri" w:cs="Calibri" w:eastAsia="Calibri" w:hAnsi="Calibri"/>
          <w:b/>
          <w:bCs/>
          <w:color w:val="14161B"/>
          <w:sz w:val="21"/>
          <w:szCs w:val="21"/>
        </w:rPr>
        <w:t xml:space="preserve">Notice of payment</w:t>
      </w:r>
    </w:p>
    <w:p>
      <w:pPr>
        <w:spacing w:after="120" w:before="0" w:line="276"/>
        <w:jc w:val="both"/>
      </w:pPr>
      <w:r>
        <w:rPr>
          <w:rFonts w:ascii="Calibri" w:cs="Calibri" w:eastAsia="Calibri" w:hAnsi="Calibri"/>
          <w:sz w:val="21"/>
          <w:szCs w:val="21"/>
        </w:rPr>
        <w:t xml:space="preserve">To </w:t>
      </w:r>
      <w:r>
        <w:rPr>
          <w:rFonts w:ascii="Calibri" w:cs="Calibri" w:eastAsia="Calibri" w:hAnsi="Calibri"/>
          <w:b/>
          <w:bCs/>
          <w:sz w:val="21"/>
          <w:szCs w:val="21"/>
        </w:rPr>
        <w:t xml:space="preserve">[APPLICANT NAME]</w:t>
      </w:r>
      <w:r>
        <w:rPr>
          <w:rFonts w:ascii="Calibri" w:cs="Calibri" w:eastAsia="Calibri" w:hAnsi="Calibri"/>
          <w:sz w:val="21"/>
          <w:szCs w:val="21"/>
        </w:rPr>
        <w:t xml:space="preserve">, and to the controlling authority.</w:t>
      </w:r>
    </w:p>
    <w:p>
      <w:pPr>
        <w:spacing w:after="120" w:before="0" w:line="276"/>
        <w:jc w:val="both"/>
      </w:pPr>
      <w:r>
        <w:rPr>
          <w:rFonts w:ascii="Calibri" w:cs="Calibri" w:eastAsia="Calibri" w:hAnsi="Calibri"/>
          <w:sz w:val="21"/>
          <w:szCs w:val="21"/>
        </w:rPr>
        <w:t xml:space="preserve">The gratuity payable in respect of the employment of </w:t>
      </w:r>
      <w:r>
        <w:rPr>
          <w:rFonts w:ascii="Calibri" w:cs="Calibri" w:eastAsia="Calibri" w:hAnsi="Calibri"/>
          <w:b/>
          <w:bCs/>
          <w:sz w:val="21"/>
          <w:szCs w:val="21"/>
        </w:rPr>
        <w:t xml:space="preserve">[EMPLOYEE NAME]</w:t>
      </w:r>
      <w:r>
        <w:rPr>
          <w:rFonts w:ascii="Calibri" w:cs="Calibri" w:eastAsia="Calibri" w:hAnsi="Calibri"/>
          <w:sz w:val="21"/>
          <w:szCs w:val="21"/>
        </w:rPr>
        <w:t xml:space="preserve"> has been determined at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computed as set out above. The amount will be paid on or before </w:t>
      </w:r>
      <w:r>
        <w:rPr>
          <w:rFonts w:ascii="Calibri" w:cs="Calibri" w:eastAsia="Calibri" w:hAnsi="Calibri"/>
          <w:b/>
          <w:bCs/>
          <w:sz w:val="21"/>
          <w:szCs w:val="21"/>
        </w:rPr>
        <w:t xml:space="preserve">[DATE]</w:t>
      </w:r>
      <w:r>
        <w:rPr>
          <w:rFonts w:ascii="Calibri" w:cs="Calibri" w:eastAsia="Calibri" w:hAnsi="Calibri"/>
          <w:sz w:val="21"/>
          <w:szCs w:val="21"/>
        </w:rPr>
        <w:t xml:space="preserve"> by </w:t>
      </w:r>
      <w:r>
        <w:rPr>
          <w:rFonts w:ascii="Calibri" w:cs="Calibri" w:eastAsia="Calibri" w:hAnsi="Calibri"/>
          <w:b/>
          <w:bCs/>
          <w:sz w:val="21"/>
          <w:szCs w:val="21"/>
        </w:rPr>
        <w:t xml:space="preserve">[MODE]</w:t>
      </w:r>
      <w:r>
        <w:rPr>
          <w:rFonts w:ascii="Calibri" w:cs="Calibri" w:eastAsia="Calibri" w:hAnsi="Calibri"/>
          <w:sz w:val="21"/>
          <w:szCs w:val="21"/>
        </w:rPr>
        <w:t xml:space="preserve"> to the account notified.</w:t>
      </w:r>
    </w:p>
    <w:p>
      <w:pPr>
        <w:spacing w:after="180" w:before="0" w:line="276"/>
        <w:jc w:val="both"/>
      </w:pPr>
      <w:r>
        <w:rPr>
          <w:rFonts w:ascii="Calibri" w:cs="Calibri" w:eastAsia="Calibri" w:hAnsi="Calibri"/>
          <w:b/>
          <w:bCs/>
          <w:sz w:val="21"/>
          <w:szCs w:val="21"/>
        </w:rPr>
        <w:t xml:space="preserve">[Where any amount is withheld or forfeited, state the amount, the ground, and the order or decision under which it is done. Forfeiture is permitted only on the limited grounds the law allows and only to the extent of the damage or loss caused.]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160"/>
      </w:pPr>
    </w:p>
    <w:p>
      <w:pPr>
        <w:spacing w:after="60" w:before="240"/>
        <w:jc w:val="center"/>
      </w:pPr>
      <w:r>
        <w:rPr>
          <w:rFonts w:ascii="Calibri" w:cs="Calibri" w:eastAsia="Calibri" w:hAnsi="Calibri"/>
          <w:b/>
          <w:bCs/>
          <w:color w:val="14161B"/>
          <w:spacing w:val="12"/>
          <w:sz w:val="28"/>
          <w:szCs w:val="28"/>
        </w:rPr>
        <w:t xml:space="preserve">PROCESSING RECORD</w:t>
      </w:r>
    </w:p>
    <w:p>
      <w:pPr>
        <w:spacing w:after="260"/>
        <w:jc w:val="center"/>
      </w:pPr>
      <w:r>
        <w:rPr>
          <w:rFonts w:ascii="Calibri" w:cs="Calibri" w:eastAsia="Calibri" w:hAnsi="Calibri"/>
          <w:i/>
          <w:iCs/>
          <w:color w:val="6E7480"/>
          <w:sz w:val="19"/>
          <w:szCs w:val="19"/>
        </w:rPr>
        <w:t xml:space="preserve">Internal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047"/>
        <w:gridCol w:w="2891"/>
        <w:gridCol w:w="1060"/>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Timeline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became payable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cessation of employment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determined by the employer</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 soon as it becomes payable, whether or not applied for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of the amount given to the person entitled and to the controlling authority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 received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Nomination on record verified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payment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Continuous service and wage base verified against the records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payment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Payment made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the period prescribed from the date it becomes payable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paid on any delay beyond the prescribed period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applicable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Records updated and acknowledgement obtained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payment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obligation does not wait for an application</w:t>
      </w:r>
    </w:p>
    <w:p>
      <w:pPr>
        <w:spacing w:after="60" w:line="264"/>
        <w:jc w:val="both"/>
      </w:pPr>
      <w:r>
        <w:rPr>
          <w:rFonts w:ascii="Calibri" w:cs="Calibri" w:eastAsia="Calibri" w:hAnsi="Calibri"/>
          <w:sz w:val="19"/>
          <w:szCs w:val="19"/>
        </w:rPr>
        <w:t xml:space="preserve">The employer must determine the amount of gratuity as soon as it becomes payable and give notice of it to the person entitled, whether or not any application has been made. An employer that treats gratuity as payable only on request has the obligation the wrong way round, and interest runs on delay regardless of whether the employee asked.</w:t>
      </w:r>
    </w:p>
    <w:p>
      <w:pPr>
        <w:keepNext/>
        <w:spacing w:after="40" w:before="140"/>
      </w:pPr>
      <w:r>
        <w:rPr>
          <w:rFonts w:ascii="Calibri" w:cs="Calibri" w:eastAsia="Calibri" w:hAnsi="Calibri"/>
          <w:b/>
          <w:bCs/>
          <w:color w:val="14161B"/>
          <w:sz w:val="20"/>
          <w:szCs w:val="20"/>
        </w:rPr>
        <w:t xml:space="preserve">Interest runs on late payment</w:t>
      </w:r>
    </w:p>
    <w:p>
      <w:pPr>
        <w:spacing w:after="60" w:line="264"/>
        <w:jc w:val="both"/>
      </w:pPr>
      <w:r>
        <w:rPr>
          <w:rFonts w:ascii="Calibri" w:cs="Calibri" w:eastAsia="Calibri" w:hAnsi="Calibri"/>
          <w:sz w:val="19"/>
          <w:szCs w:val="19"/>
        </w:rPr>
        <w:t xml:space="preserve">Where gratuity is not paid within the period prescribed from the date it becomes payable, simple interest is payable for the period of delay at the rate prescribed. That exposure accrues automatically. Step 7 of the processing record is the one to track.</w:t>
      </w:r>
    </w:p>
    <w:p>
      <w:pPr>
        <w:keepNext/>
        <w:spacing w:after="40" w:before="140"/>
      </w:pPr>
      <w:r>
        <w:rPr>
          <w:rFonts w:ascii="Calibri" w:cs="Calibri" w:eastAsia="Calibri" w:hAnsi="Calibri"/>
          <w:b/>
          <w:bCs/>
          <w:color w:val="14161B"/>
          <w:sz w:val="20"/>
          <w:szCs w:val="20"/>
        </w:rPr>
        <w:t xml:space="preserve">Compute on wages as statutorily defined</w:t>
      </w:r>
    </w:p>
    <w:p>
      <w:pPr>
        <w:spacing w:after="60" w:line="264"/>
        <w:jc w:val="both"/>
      </w:pPr>
      <w:r>
        <w:rPr>
          <w:rFonts w:ascii="Calibri" w:cs="Calibri" w:eastAsia="Calibri" w:hAnsi="Calibri"/>
          <w:sz w:val="19"/>
          <w:szCs w:val="19"/>
        </w:rPr>
        <w:t xml:space="preserve">The computation uses the last drawn wages as the consolidated legislation defines them — basic, dearness allowance and any retaining allowance — with excluded components capped at half of total remuneration. A salary structured with a small basic and a large special allowance produces a much smaller gratuity figure than the statutory computation requires. Verify the wage base before computing.</w:t>
      </w:r>
    </w:p>
    <w:p>
      <w:pPr>
        <w:keepNext/>
        <w:spacing w:after="40" w:before="140"/>
      </w:pPr>
      <w:r>
        <w:rPr>
          <w:rFonts w:ascii="Calibri" w:cs="Calibri" w:eastAsia="Calibri" w:hAnsi="Calibri"/>
          <w:b/>
          <w:bCs/>
          <w:color w:val="14161B"/>
          <w:sz w:val="20"/>
          <w:szCs w:val="20"/>
        </w:rPr>
        <w:t xml:space="preserve">Fifteen days for every completed year, and the six-month rule</w:t>
      </w:r>
    </w:p>
    <w:p>
      <w:pPr>
        <w:spacing w:after="60" w:line="264"/>
        <w:jc w:val="both"/>
      </w:pPr>
      <w:r>
        <w:rPr>
          <w:rFonts w:ascii="Calibri" w:cs="Calibri" w:eastAsia="Calibri" w:hAnsi="Calibri"/>
          <w:sz w:val="19"/>
          <w:szCs w:val="19"/>
        </w:rPr>
        <w:t xml:space="preserve">The conventional computation is fifteen days’ wages for each completed year of continuous service, with the daily wage taken as the monthly wages divided by twenty-six. A part of a year exceeding six months is treated as a completed year. Both elements are frequently applied incorrectly in payroll systems.</w:t>
      </w:r>
    </w:p>
    <w:p>
      <w:pPr>
        <w:keepNext/>
        <w:spacing w:after="40" w:before="140"/>
      </w:pPr>
      <w:r>
        <w:rPr>
          <w:rFonts w:ascii="Calibri" w:cs="Calibri" w:eastAsia="Calibri" w:hAnsi="Calibri"/>
          <w:b/>
          <w:bCs/>
          <w:color w:val="14161B"/>
          <w:sz w:val="20"/>
          <w:szCs w:val="20"/>
        </w:rPr>
        <w:t xml:space="preserve">The qualifying period does not apply on death or disablement</w:t>
      </w:r>
    </w:p>
    <w:p>
      <w:pPr>
        <w:spacing w:after="60" w:line="264"/>
        <w:jc w:val="both"/>
      </w:pPr>
      <w:r>
        <w:rPr>
          <w:rFonts w:ascii="Calibri" w:cs="Calibri" w:eastAsia="Calibri" w:hAnsi="Calibri"/>
          <w:sz w:val="19"/>
          <w:szCs w:val="19"/>
        </w:rPr>
        <w:t xml:space="preserve">Gratuity is ordinarily payable on completion of the qualifying period of continuous service. Where employment ends by death or disablement, that requirement does not apply and gratuity is payable regardless of length of service. This is the most commonly misapplied rule and it arises in the most sensitive circumstances.</w:t>
      </w:r>
    </w:p>
    <w:p>
      <w:pPr>
        <w:keepNext/>
        <w:spacing w:after="40" w:before="140"/>
      </w:pPr>
      <w:r>
        <w:rPr>
          <w:rFonts w:ascii="Calibri" w:cs="Calibri" w:eastAsia="Calibri" w:hAnsi="Calibri"/>
          <w:b/>
          <w:bCs/>
          <w:color w:val="14161B"/>
          <w:sz w:val="20"/>
          <w:szCs w:val="20"/>
        </w:rPr>
        <w:t xml:space="preserve">Fixed-term employees</w:t>
      </w:r>
    </w:p>
    <w:p>
      <w:pPr>
        <w:spacing w:after="60" w:line="264"/>
        <w:jc w:val="both"/>
      </w:pPr>
      <w:r>
        <w:rPr>
          <w:rFonts w:ascii="Calibri" w:cs="Calibri" w:eastAsia="Calibri" w:hAnsi="Calibri"/>
          <w:sz w:val="19"/>
          <w:szCs w:val="19"/>
        </w:rPr>
        <w:t xml:space="preserve">A fixed-term employee is entitled to gratuity in proportion to service without completing the general qualifying period. Do not apply the ordinary rule to a fixed-term engagement.</w:t>
      </w:r>
    </w:p>
    <w:p>
      <w:pPr>
        <w:keepNext/>
        <w:spacing w:after="40" w:before="140"/>
      </w:pPr>
      <w:r>
        <w:rPr>
          <w:rFonts w:ascii="Calibri" w:cs="Calibri" w:eastAsia="Calibri" w:hAnsi="Calibri"/>
          <w:b/>
          <w:bCs/>
          <w:color w:val="14161B"/>
          <w:sz w:val="20"/>
          <w:szCs w:val="20"/>
        </w:rPr>
        <w:t xml:space="preserve">Forfeiture is narrow</w:t>
      </w:r>
    </w:p>
    <w:p>
      <w:pPr>
        <w:spacing w:after="60" w:line="264"/>
        <w:jc w:val="both"/>
      </w:pPr>
      <w:r>
        <w:rPr>
          <w:rFonts w:ascii="Calibri" w:cs="Calibri" w:eastAsia="Calibri" w:hAnsi="Calibri"/>
          <w:sz w:val="19"/>
          <w:szCs w:val="19"/>
        </w:rPr>
        <w:t xml:space="preserve">Gratuity may be forfeited only on the limited grounds the law permits, and to the extent of the damage or loss caused, or wholly only in the specific circumstances allowed. Forfeiture as a general sanction for misconduct, or as leverage to recover an unrelated amount, is not permitted. Where any amount is withheld, state the ground and the order in the notice, as Section 6 requires.</w:t>
      </w:r>
    </w:p>
    <w:p>
      <w:pPr>
        <w:keepNext/>
        <w:spacing w:after="40" w:before="140"/>
      </w:pPr>
      <w:r>
        <w:rPr>
          <w:rFonts w:ascii="Calibri" w:cs="Calibri" w:eastAsia="Calibri" w:hAnsi="Calibri"/>
          <w:b/>
          <w:bCs/>
          <w:color w:val="14161B"/>
          <w:sz w:val="20"/>
          <w:szCs w:val="20"/>
        </w:rPr>
        <w:t xml:space="preserve">Do not condition payment on a release</w:t>
      </w:r>
    </w:p>
    <w:p>
      <w:pPr>
        <w:spacing w:after="60" w:line="264"/>
        <w:jc w:val="both"/>
      </w:pPr>
      <w:r>
        <w:rPr>
          <w:rFonts w:ascii="Calibri" w:cs="Calibri" w:eastAsia="Calibri" w:hAnsi="Calibri"/>
          <w:sz w:val="19"/>
          <w:szCs w:val="19"/>
        </w:rPr>
        <w:t xml:space="preserve">Gratuity is a statutory entitlement and cannot be waived by agreement. Making its payment conditional on signing a full and final release is ineffective as to the gratuity and undermines the release. Pay it and deal with any settlement separately.</w:t>
      </w:r>
    </w:p>
    <w:p>
      <w:pPr>
        <w:keepNext/>
        <w:spacing w:after="40" w:before="140"/>
      </w:pPr>
      <w:r>
        <w:rPr>
          <w:rFonts w:ascii="Calibri" w:cs="Calibri" w:eastAsia="Calibri" w:hAnsi="Calibri"/>
          <w:b/>
          <w:bCs/>
          <w:color w:val="14161B"/>
          <w:sz w:val="20"/>
          <w:szCs w:val="20"/>
        </w:rPr>
        <w:t xml:space="preserve">Where there is no nomination</w:t>
      </w:r>
    </w:p>
    <w:p>
      <w:pPr>
        <w:spacing w:after="60" w:line="264"/>
        <w:jc w:val="both"/>
      </w:pPr>
      <w:r>
        <w:rPr>
          <w:rFonts w:ascii="Calibri" w:cs="Calibri" w:eastAsia="Calibri" w:hAnsi="Calibri"/>
          <w:sz w:val="19"/>
          <w:szCs w:val="19"/>
        </w:rPr>
        <w:t xml:space="preserve">The absence of a nomination is what turns a straightforward payment into a months-long problem for a bereaved family, because succession must then be established. Collect nominations at induction and refresh them on marriage, birth and the death of a nominee. It is entirely within the employer’s control.</w:t>
      </w:r>
    </w:p>
    <w:p>
      <w:pPr>
        <w:keepNext/>
        <w:spacing w:after="40" w:before="140"/>
      </w:pPr>
      <w:r>
        <w:rPr>
          <w:rFonts w:ascii="Calibri" w:cs="Calibri" w:eastAsia="Calibri" w:hAnsi="Calibri"/>
          <w:b/>
          <w:bCs/>
          <w:color w:val="14161B"/>
          <w:sz w:val="20"/>
          <w:szCs w:val="20"/>
        </w:rPr>
        <w:t xml:space="preserve">Minor nominees</w:t>
      </w:r>
    </w:p>
    <w:p>
      <w:pPr>
        <w:spacing w:after="60" w:line="264"/>
        <w:jc w:val="both"/>
      </w:pPr>
      <w:r>
        <w:rPr>
          <w:rFonts w:ascii="Calibri" w:cs="Calibri" w:eastAsia="Calibri" w:hAnsi="Calibri"/>
          <w:sz w:val="19"/>
          <w:szCs w:val="19"/>
        </w:rPr>
        <w:t xml:space="preserve">Where a nominee is a minor, the amount is dealt with in the manner the law provides, which may involve deposit with the controlling authority rather than payment to a guardian. Check the applicable procedure rather than paying to whoever presents the claim.</w:t>
      </w:r>
    </w:p>
    <w:p>
      <w:pPr>
        <w:keepNext/>
        <w:spacing w:after="40" w:before="140"/>
      </w:pPr>
      <w:r>
        <w:rPr>
          <w:rFonts w:ascii="Calibri" w:cs="Calibri" w:eastAsia="Calibri" w:hAnsi="Calibri"/>
          <w:b/>
          <w:bCs/>
          <w:color w:val="14161B"/>
          <w:sz w:val="20"/>
          <w:szCs w:val="20"/>
        </w:rPr>
        <w:t xml:space="preserve">Tax treatment</w:t>
      </w:r>
    </w:p>
    <w:p>
      <w:pPr>
        <w:spacing w:after="60" w:line="264"/>
        <w:jc w:val="both"/>
      </w:pPr>
      <w:r>
        <w:rPr>
          <w:rFonts w:ascii="Calibri" w:cs="Calibri" w:eastAsia="Calibri" w:hAnsi="Calibri"/>
          <w:sz w:val="19"/>
          <w:szCs w:val="19"/>
        </w:rPr>
        <w:t xml:space="preserve">Gratuity received is exempt from tax up to the limits and on the conditions the income-tax law prescribes, which differ by category of employee. Determine the exempt portion before deducting tax, and issue the prescribed certificate for any tax deducted.</w:t>
      </w:r>
    </w:p>
    <w:p>
      <w:pPr>
        <w:keepNext/>
        <w:spacing w:after="40" w:before="140"/>
      </w:pPr>
      <w:r>
        <w:rPr>
          <w:rFonts w:ascii="Calibri" w:cs="Calibri" w:eastAsia="Calibri" w:hAnsi="Calibri"/>
          <w:b/>
          <w:bCs/>
          <w:color w:val="14161B"/>
          <w:sz w:val="20"/>
          <w:szCs w:val="20"/>
        </w:rPr>
        <w:t xml:space="preserve">Dispute route</w:t>
      </w:r>
    </w:p>
    <w:p>
      <w:pPr>
        <w:spacing w:after="60" w:line="264"/>
        <w:jc w:val="both"/>
      </w:pPr>
      <w:r>
        <w:rPr>
          <w:rFonts w:ascii="Calibri" w:cs="Calibri" w:eastAsia="Calibri" w:hAnsi="Calibri"/>
          <w:sz w:val="19"/>
          <w:szCs w:val="19"/>
        </w:rPr>
        <w:t xml:space="preserve">Where the amount is disputed, or payment is refused, the applicant may apply to the controlling authority, and there is a right of appeal from that authority’s decision. Employers should be aware that the forum is statutory and is not displaced by an arbitration clause in the employment contract.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prescribed forms, the statutory ceiling, the rate of interest on delayed payment, the qualifying period and the tax exemption limits all change — confirm each with a payroll specialist before computing, and use the prescribed form where one is prescribed by the State.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2026-08-21T12:53:55.306Z</dcterms:created>
  <dcterms:modified xsi:type="dcterms:W3CDTF">2026-08-21T12:53:55.306Z</dcterms:modified>
</cp:coreProperties>
</file>

<file path=docProps/custom.xml><?xml version="1.0" encoding="utf-8"?>
<Properties xmlns="http://schemas.openxmlformats.org/officeDocument/2006/custom-properties" xmlns:vt="http://schemas.openxmlformats.org/officeDocument/2006/docPropsVTypes"/>
</file>