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EMPLOYEE DECLARATION OF DEDUCTIONS AND ALLOWANCES</w:t>
      </w:r>
    </w:p>
    <w:p>
      <w:pPr>
        <w:spacing w:after="260"/>
        <w:jc w:val="center"/>
      </w:pPr>
      <w:r>
        <w:rPr>
          <w:rFonts w:ascii="Calibri" w:cs="Calibri" w:eastAsia="Calibri" w:hAnsi="Calibri"/>
          <w:i/>
          <w:iCs/>
          <w:color w:val="6E7480"/>
          <w:sz w:val="19"/>
          <w:szCs w:val="19"/>
        </w:rPr>
        <w:t xml:space="preserve">For computing tax to be deducted from salary</w:t>
      </w:r>
    </w:p>
    <w:p>
      <w:pPr>
        <w:spacing w:after="180" w:before="0" w:line="276"/>
        <w:jc w:val="both"/>
      </w:pPr>
      <w:r>
        <w:rPr>
          <w:rFonts w:ascii="Calibri" w:cs="Calibri" w:eastAsia="Calibri" w:hAnsi="Calibri"/>
          <w:i/>
          <w:iCs/>
          <w:color w:val="6E7480"/>
          <w:sz w:val="21"/>
          <w:szCs w:val="21"/>
        </w:rPr>
        <w:t xml:space="preserve">Collect this at the start of the financial year, with evidence by a stated cut-off, and recompute the withholding when it arrives. An employer that accepts declarations without evidence, or never reconciles the two, carries the exposure for short deduction — not the employee.</w:t>
      </w:r>
    </w:p>
    <w:p>
      <w:pPr>
        <w:spacing w:after="18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  TAN: </w:t>
      </w:r>
      <w:r>
        <w:rPr>
          <w:rFonts w:ascii="Calibri" w:cs="Calibri" w:eastAsia="Calibri" w:hAnsi="Calibri"/>
          <w:b/>
          <w:bCs/>
          <w:sz w:val="21"/>
          <w:szCs w:val="21"/>
        </w:rPr>
        <w:t xml:space="preserve">[TAN]</w:t>
      </w:r>
      <w:r>
        <w:rPr>
          <w:rFonts w:ascii="Calibri" w:cs="Calibri" w:eastAsia="Calibri" w:hAnsi="Calibri"/>
          <w:sz w:val="21"/>
          <w:szCs w:val="21"/>
        </w:rPr>
        <w:t xml:space="preserve">  </w:t>
      </w:r>
      <w:r>
        <w:rPr>
          <w:rFonts w:ascii="Calibri" w:cs="Calibri" w:eastAsia="Calibri" w:hAnsi="Calibri"/>
          <w:b/>
          <w:bCs/>
          <w:sz w:val="21"/>
          <w:szCs w:val="21"/>
        </w:rPr>
        <w:t xml:space="preserve">[ADDRESS]</w:t>
      </w:r>
    </w:p>
    <w:p>
      <w:pPr>
        <w:keepNext/>
        <w:spacing w:after="120" w:before="280"/>
        <w:outlineLvl w:val="0"/>
      </w:pPr>
      <w:r>
        <w:rPr>
          <w:rFonts w:ascii="Calibri" w:cs="Calibri" w:eastAsia="Calibri" w:hAnsi="Calibri"/>
          <w:b/>
          <w:bCs/>
          <w:color w:val="14161B"/>
          <w:sz w:val="22"/>
          <w:szCs w:val="22"/>
        </w:rPr>
        <w:t xml:space="preserve">1. PARTICULARS OF THE EMPLOYEE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047"/>
        <w:gridCol w:w="5591"/>
      </w:tblGrid>
      <w:tr>
        <w:trPr>
          <w:tblHeader/>
        </w:trPr>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5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Name</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 identification number</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[ID]</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Permanent account number</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Address</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Financial year</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[YEAR]</w:t>
            </w:r>
            <w:r>
              <w:rPr>
                <w:rFonts w:ascii="Calibri" w:cs="Calibri" w:eastAsia="Calibri" w:hAnsi="Calibri"/>
                <w:b/>
                <w:bCs/>
                <w:sz w:val="19"/>
                <w:szCs w:val="19"/>
              </w:rPr>
              <w:t xml:space="preserve">–</w:t>
            </w:r>
            <w:r>
              <w:rPr>
                <w:rFonts w:ascii="Calibri" w:cs="Calibri" w:eastAsia="Calibri" w:hAnsi="Calibri"/>
                <w:b/>
                <w:bCs/>
                <w:sz w:val="19"/>
                <w:szCs w:val="19"/>
              </w:rPr>
              <w:t xml:space="preserve">[YEAR]</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joining, where joined during the year</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Tax regime elected for the year</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[New regime / Old regime]</w:t>
            </w:r>
            <w:r>
              <w:rPr>
                <w:rFonts w:ascii="Calibri" w:cs="Calibri" w:eastAsia="Calibri" w:hAnsi="Calibri"/>
                <w:sz w:val="19"/>
                <w:szCs w:val="19"/>
              </w:rPr>
              <w:t xml:space="preserve"> — see Part 6</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Declaration submitted on</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Evidence due by</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60"/>
      </w:pPr>
    </w:p>
    <w:p>
      <w:pPr>
        <w:keepNext/>
        <w:spacing w:after="120" w:before="280"/>
        <w:outlineLvl w:val="0"/>
      </w:pPr>
      <w:r>
        <w:rPr>
          <w:rFonts w:ascii="Calibri" w:cs="Calibri" w:eastAsia="Calibri" w:hAnsi="Calibri"/>
          <w:b/>
          <w:bCs/>
          <w:color w:val="14161B"/>
          <w:sz w:val="22"/>
          <w:szCs w:val="22"/>
        </w:rPr>
        <w:t xml:space="preserve">2. HOUSE RENT ALLOWANCE</w:t>
      </w:r>
    </w:p>
    <w:p>
      <w:pPr>
        <w:spacing w:after="120" w:before="0" w:line="276"/>
        <w:jc w:val="both"/>
      </w:pPr>
      <w:r>
        <w:rPr>
          <w:rFonts w:ascii="Calibri" w:cs="Calibri" w:eastAsia="Calibri" w:hAnsi="Calibri"/>
          <w:i/>
          <w:iCs/>
          <w:sz w:val="21"/>
          <w:szCs w:val="21"/>
        </w:rPr>
        <w:t xml:space="preserve">Claim only where rent is actually paid for residential accommodation occupied by you and which you do not own.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300"/>
        <w:gridCol w:w="3857"/>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53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w:t>
            </w:r>
          </w:p>
        </w:tc>
        <w:tc>
          <w:tcPr>
            <w:tcW w:type="dxa" w:w="385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Rent paid during the year</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Period of tenancy</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[FROM]</w:t>
            </w:r>
            <w:r>
              <w:rPr>
                <w:rFonts w:ascii="Calibri" w:cs="Calibri" w:eastAsia="Calibri" w:hAnsi="Calibri"/>
                <w:sz w:val="19"/>
                <w:szCs w:val="19"/>
              </w:rPr>
              <w:t xml:space="preserve"> to </w:t>
            </w:r>
            <w:r>
              <w:rPr>
                <w:rFonts w:ascii="Calibri" w:cs="Calibri" w:eastAsia="Calibri" w:hAnsi="Calibri"/>
                <w:b/>
                <w:bCs/>
                <w:sz w:val="19"/>
                <w:szCs w:val="19"/>
              </w:rPr>
              <w:t xml:space="preserve">[TO]</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Address of the rented accommodation</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Name of the landlord</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Address of the landlord</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Permanent account number of the landlord</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Whether the aggregate rent for the year exceeds the threshold above which the landlord’s PAN must be furnished</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Whether the city of residence is one for which the higher exemption limit applies</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Whether tax is required to be deducted by you on the rent paid</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 — see the notes]</w:t>
            </w:r>
          </w:p>
        </w:tc>
      </w:tr>
    </w:tbl>
    <w:p>
      <w:pPr>
        <w:spacing w:after="140"/>
      </w:pPr>
    </w:p>
    <w:p>
      <w:pPr>
        <w:spacing w:after="160" w:before="0" w:line="276"/>
        <w:jc w:val="both"/>
      </w:pPr>
      <w:r>
        <w:rPr>
          <w:rFonts w:ascii="Calibri" w:cs="Calibri" w:eastAsia="Calibri" w:hAnsi="Calibri"/>
          <w:i/>
          <w:iCs/>
          <w:sz w:val="21"/>
          <w:szCs w:val="21"/>
        </w:rPr>
        <w:t xml:space="preserve">Evidence to be furnished: rent receipts for the period, and the rent agreement. Where the annual rent exceeds the prescribed threshold, the landlord’s permanent account number is mandatory and the claim will be disallowed without it.</w:t>
      </w:r>
    </w:p>
    <w:p>
      <w:pPr>
        <w:keepNext/>
        <w:spacing w:after="120" w:before="280"/>
        <w:outlineLvl w:val="0"/>
      </w:pPr>
      <w:r>
        <w:rPr>
          <w:rFonts w:ascii="Calibri" w:cs="Calibri" w:eastAsia="Calibri" w:hAnsi="Calibri"/>
          <w:b/>
          <w:bCs/>
          <w:color w:val="14161B"/>
          <w:sz w:val="22"/>
          <w:szCs w:val="22"/>
        </w:rPr>
        <w:t xml:space="preserve">3. LEAVE TRAVEL CONCESSION OR ASSISTANCE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300"/>
        <w:gridCol w:w="3857"/>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53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w:t>
            </w:r>
          </w:p>
        </w:tc>
        <w:tc>
          <w:tcPr>
            <w:tcW w:type="dxa" w:w="385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Amount claimed</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Dates of travel</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Places of origin and destination</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Mode of travel</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[Air / Rail / Other]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Family members who travelled and their relationship</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Block of years to which the claim relates</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[BLOCK]</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Number of journeys already claimed in the current block</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bl>
    <w:p>
      <w:pPr>
        <w:spacing w:after="140"/>
      </w:pPr>
    </w:p>
    <w:p>
      <w:pPr>
        <w:spacing w:after="160" w:before="0" w:line="276"/>
        <w:jc w:val="both"/>
      </w:pPr>
      <w:r>
        <w:rPr>
          <w:rFonts w:ascii="Calibri" w:cs="Calibri" w:eastAsia="Calibri" w:hAnsi="Calibri"/>
          <w:i/>
          <w:iCs/>
          <w:sz w:val="21"/>
          <w:szCs w:val="21"/>
        </w:rPr>
        <w:t xml:space="preserve">Evidence to be furnished: tickets, boarding passes and invoices. The exemption covers the cost of travel only, not accommodation, meals or local transport.</w:t>
      </w:r>
    </w:p>
    <w:p>
      <w:pPr>
        <w:keepNext/>
        <w:spacing w:after="120" w:before="280"/>
        <w:outlineLvl w:val="0"/>
      </w:pPr>
      <w:r>
        <w:rPr>
          <w:rFonts w:ascii="Calibri" w:cs="Calibri" w:eastAsia="Calibri" w:hAnsi="Calibri"/>
          <w:b/>
          <w:bCs/>
          <w:color w:val="14161B"/>
          <w:sz w:val="22"/>
          <w:szCs w:val="22"/>
        </w:rPr>
        <w:t xml:space="preserve">4. INTEREST ON BORROWED CAPITAL — HOUSE PROPERTY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300"/>
        <w:gridCol w:w="3857"/>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53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w:t>
            </w:r>
          </w:p>
        </w:tc>
        <w:tc>
          <w:tcPr>
            <w:tcW w:type="dxa" w:w="385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Interest payable or paid to the lender during the year</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Whether the property is self-occupied or let out</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[Self-occupied / Let out / Deemed let out]</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Address of the property</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Name of the lender</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Address of the lender</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Permanent account number of the lender</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Whether the lender is a financial institution, an employer, or another person</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[CATEGORY]</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the loan was taken</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Whether the property is co-owned, and the share claimed</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____% / NO]</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Where let out, the rental income and municipal taxes paid</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r>
              <w:rPr>
                <w:rFonts w:ascii="Calibri" w:cs="Calibri" w:eastAsia="Calibri" w:hAnsi="Calibri"/>
                <w:sz w:val="19"/>
                <w:szCs w:val="19"/>
              </w:rPr>
              <w:t xml:space="preserve"> / ₹ </w:t>
            </w:r>
            <w:r>
              <w:rPr>
                <w:rFonts w:ascii="Calibri" w:cs="Calibri" w:eastAsia="Calibri" w:hAnsi="Calibri"/>
                <w:b/>
                <w:bCs/>
                <w:sz w:val="19"/>
                <w:szCs w:val="19"/>
              </w:rPr>
              <w:t xml:space="preserve">[AMOUNT]</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Loss from house property to be set off against salary</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bl>
    <w:p>
      <w:pPr>
        <w:spacing w:after="140"/>
      </w:pPr>
    </w:p>
    <w:p>
      <w:pPr>
        <w:spacing w:after="160" w:before="0" w:line="276"/>
        <w:jc w:val="both"/>
      </w:pPr>
      <w:r>
        <w:rPr>
          <w:rFonts w:ascii="Calibri" w:cs="Calibri" w:eastAsia="Calibri" w:hAnsi="Calibri"/>
          <w:i/>
          <w:iCs/>
          <w:sz w:val="21"/>
          <w:szCs w:val="21"/>
        </w:rPr>
        <w:t xml:space="preserve">Evidence to be furnished: lender’s certificate showing interest and principal separately for the financial year, and proof of ownership.</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DEDUCTIONS CLAIMED</w:t>
      </w:r>
    </w:p>
    <w:p>
      <w:pPr>
        <w:spacing w:after="120" w:before="0" w:line="276"/>
        <w:jc w:val="both"/>
      </w:pPr>
      <w:r>
        <w:rPr>
          <w:rFonts w:ascii="Calibri" w:cs="Calibri" w:eastAsia="Calibri" w:hAnsi="Calibri"/>
          <w:i/>
          <w:iCs/>
          <w:sz w:val="21"/>
          <w:szCs w:val="21"/>
        </w:rPr>
        <w:t xml:space="preserve">Complete only those applicable. The deductions available depend on the tax regime elected in Part 6 — most are not available under the new regime.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337"/>
        <w:gridCol w:w="1734"/>
        <w:gridCol w:w="3086"/>
      </w:tblGrid>
      <w:tr>
        <w:trPr>
          <w:tblHeader/>
        </w:trPr>
        <w:tc>
          <w:tcPr>
            <w:tcW w:type="dxa" w:w="48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w:t>
            </w:r>
          </w:p>
        </w:tc>
        <w:tc>
          <w:tcPr>
            <w:tcW w:type="dxa" w:w="433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Nature of the deduction</w:t>
            </w:r>
          </w:p>
        </w:tc>
        <w:tc>
          <w:tcPr>
            <w:tcW w:type="dxa" w:w="173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 claimed (₹)</w:t>
            </w:r>
          </w:p>
        </w:tc>
        <w:tc>
          <w:tcPr>
            <w:tcW w:type="dxa" w:w="308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Evidence to be furnished</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Life insurance premium</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08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Premium receipts; policy details</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2</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Provident fund — employee contribution</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08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Taken from payroll records</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3</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Public provident fund contribution</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08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Passbook or statement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4</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Repayment of principal on a housing loan</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08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Lender’s certificate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5</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Tuition fees for children</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08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School receipts</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6</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Equity linked savings scheme, term deposits and other eligible investments</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08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Statements and certificates</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7</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Contribution to the national pension system — employee</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08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Transaction statement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8</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Contribution to the national pension system — employer, where routed through salary</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08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Payroll records</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9</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Medical insurance premium — self, spouse and children</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08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Premium receipt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10</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Medical insurance premium — parents; state whether senior citizens</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08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Premium receipt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11</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Preventive health check-up</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08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Receipts</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12</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Interest on an education loan</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08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Lender’s certificate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13</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Donations eligible for deduction</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08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Receipt with the donee’s registration particulars</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14</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Deduction in respect of a person with disability</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08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Prescribed certificate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15</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Interest on savings account deposits</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08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Bank statement or certificate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16</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[Other — specify the provision]</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08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[EVIDENCE]</w:t>
            </w:r>
          </w:p>
        </w:tc>
      </w:tr>
      <w:tr>
        <w:tc>
          <w:tcPr>
            <w:tcW w:type="dxa" w:w="481"/>
            <w:tcMar>
              <w:top w:type="dxa" w:w="70"/>
              <w:left w:type="dxa" w:w="100"/>
              <w:bottom w:type="dxa" w:w="70"/>
              <w:right w:type="dxa" w:w="100"/>
            </w:tcMar>
            <w:vAlign w:val="center"/>
          </w:tcPr>
          <w:p>
            <w:pPr>
              <w:spacing w:after="0" w:line="240"/>
              <w:jc w:val="center"/>
            </w:pP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deductions claimed</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086"/>
            <w:tcMar>
              <w:top w:type="dxa" w:w="70"/>
              <w:left w:type="dxa" w:w="100"/>
              <w:bottom w:type="dxa" w:w="70"/>
              <w:right w:type="dxa" w:w="100"/>
            </w:tcMar>
            <w:vAlign w:val="center"/>
          </w:tcPr>
          <w:p>
            <w:pPr>
              <w:spacing w:after="0" w:line="240"/>
              <w:jc w:val="left"/>
            </w:pPr>
          </w:p>
        </w:tc>
      </w:tr>
    </w:tbl>
    <w:p>
      <w:pPr>
        <w:spacing w:after="160"/>
      </w:pPr>
    </w:p>
    <w:p>
      <w:pPr>
        <w:keepNext/>
        <w:spacing w:after="120" w:before="280"/>
        <w:outlineLvl w:val="0"/>
      </w:pPr>
      <w:r>
        <w:rPr>
          <w:rFonts w:ascii="Calibri" w:cs="Calibri" w:eastAsia="Calibri" w:hAnsi="Calibri"/>
          <w:b/>
          <w:bCs/>
          <w:color w:val="14161B"/>
          <w:sz w:val="22"/>
          <w:szCs w:val="22"/>
        </w:rPr>
        <w:t xml:space="preserve">6. ELECTION OF TAX REGIME</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I elect to be taxed for the financial year </w:t>
      </w:r>
      <w:r>
        <w:rPr>
          <w:rFonts w:ascii="Calibri" w:cs="Calibri" w:eastAsia="Calibri" w:hAnsi="Calibri"/>
          <w:b/>
          <w:bCs/>
          <w:sz w:val="21"/>
          <w:szCs w:val="21"/>
        </w:rPr>
        <w:t xml:space="preserve">[YEAR]</w:t>
      </w:r>
      <w:r>
        <w:rPr>
          <w:rFonts w:ascii="Calibri" w:cs="Calibri" w:eastAsia="Calibri" w:hAnsi="Calibri"/>
          <w:b/>
          <w:bCs/>
          <w:sz w:val="21"/>
          <w:szCs w:val="21"/>
        </w:rPr>
        <w:t xml:space="preserve">–</w:t>
      </w:r>
      <w:r>
        <w:rPr>
          <w:rFonts w:ascii="Calibri" w:cs="Calibri" w:eastAsia="Calibri" w:hAnsi="Calibri"/>
          <w:b/>
          <w:bCs/>
          <w:sz w:val="21"/>
          <w:szCs w:val="21"/>
        </w:rPr>
        <w:t xml:space="preserve">[YEAR]</w:t>
      </w:r>
      <w:r>
        <w:rPr>
          <w:rFonts w:ascii="Calibri" w:cs="Calibri" w:eastAsia="Calibri" w:hAnsi="Calibri"/>
          <w:sz w:val="21"/>
          <w:szCs w:val="21"/>
        </w:rPr>
        <w:t xml:space="preserve"> under the </w:t>
      </w:r>
      <w:r>
        <w:rPr>
          <w:rFonts w:ascii="Calibri" w:cs="Calibri" w:eastAsia="Calibri" w:hAnsi="Calibri"/>
          <w:b/>
          <w:bCs/>
          <w:sz w:val="21"/>
          <w:szCs w:val="21"/>
        </w:rPr>
        <w:t xml:space="preserve">[new regime / old regime]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I understand that most exemptions and deductions, including those claimed in Parts 2, 3 and 5 above, are </w:t>
      </w:r>
      <w:r>
        <w:rPr>
          <w:rFonts w:ascii="Calibri" w:cs="Calibri" w:eastAsia="Calibri" w:hAnsi="Calibri"/>
          <w:b/>
          <w:bCs/>
          <w:sz w:val="21"/>
          <w:szCs w:val="21"/>
        </w:rPr>
        <w:t xml:space="preserve">not available under the new regime</w:t>
      </w:r>
      <w:r>
        <w:rPr>
          <w:rFonts w:ascii="Calibri" w:cs="Calibri" w:eastAsia="Calibri" w:hAnsi="Calibri"/>
          <w:sz w:val="21"/>
          <w:szCs w:val="21"/>
        </w:rPr>
        <w:t xml:space="preserve">, and that the deduction available in respect of the standard deduction from salary and the rebate applicable to income up to the prescribed threshold differ between the regimes.</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I understand that this election is for the purpose of computing tax to be deducted from my salary, and that my final position is determined in my return of income.</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I understand that where I do not make an election, the Company will compute tax under the </w:t>
      </w:r>
      <w:r>
        <w:rPr>
          <w:rFonts w:ascii="Calibri" w:cs="Calibri" w:eastAsia="Calibri" w:hAnsi="Calibri"/>
          <w:b/>
          <w:bCs/>
          <w:sz w:val="21"/>
          <w:szCs w:val="21"/>
        </w:rPr>
        <w:t xml:space="preserve">default regime</w:t>
      </w:r>
      <w:r>
        <w:rPr>
          <w:rFonts w:ascii="Calibri" w:cs="Calibri" w:eastAsia="Calibri" w:hAnsi="Calibri"/>
          <w:sz w:val="21"/>
          <w:szCs w:val="21"/>
        </w:rPr>
        <w:t xml:space="preserve"> as prescribed by law.</w:t>
      </w:r>
    </w:p>
    <w:p>
      <w:pPr>
        <w:keepNext/>
        <w:spacing w:after="120" w:before="280"/>
        <w:outlineLvl w:val="0"/>
      </w:pPr>
      <w:r>
        <w:rPr>
          <w:rFonts w:ascii="Calibri" w:cs="Calibri" w:eastAsia="Calibri" w:hAnsi="Calibri"/>
          <w:b/>
          <w:bCs/>
          <w:color w:val="14161B"/>
          <w:sz w:val="22"/>
          <w:szCs w:val="22"/>
        </w:rPr>
        <w:t xml:space="preserve">7. INCOME FROM OTHER SOURCES AND PREVIOUS EMPLOYMENT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9"/>
        <w:gridCol w:w="1927"/>
        <w:gridCol w:w="2892"/>
      </w:tblGrid>
      <w:tr>
        <w:trPr>
          <w:tblHeader/>
        </w:trPr>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 (₹)</w:t>
            </w:r>
          </w:p>
        </w:tc>
        <w:tc>
          <w:tcPr>
            <w:tcW w:type="dxa" w:w="289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Evidence</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Salary received from a previous employer during this financial year</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Statement from the previous employer</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Tax deducted by the previous employer</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Statement from the previous employer</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Interest income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Bank certificate</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Rental income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Computation</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[Other income to be considered]</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[EVIDENCE]</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Loss to be set off, other than loss from house property</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Not to be considered by the employer</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r>
    </w:tbl>
    <w:p>
      <w:pPr>
        <w:spacing w:after="160"/>
      </w:pPr>
    </w:p>
    <w:p>
      <w:pPr>
        <w:keepNext/>
        <w:spacing w:after="120" w:before="280"/>
        <w:outlineLvl w:val="0"/>
      </w:pPr>
      <w:r>
        <w:rPr>
          <w:rFonts w:ascii="Calibri" w:cs="Calibri" w:eastAsia="Calibri" w:hAnsi="Calibri"/>
          <w:b/>
          <w:bCs/>
          <w:color w:val="14161B"/>
          <w:sz w:val="22"/>
          <w:szCs w:val="22"/>
        </w:rPr>
        <w:t xml:space="preserve">8. DECLARATION</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particulars given above are true and correct to the best of my knowledge and belief.</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I undertake to furnish the supporting evidence by </w:t>
      </w:r>
      <w:r>
        <w:rPr>
          <w:rFonts w:ascii="Calibri" w:cs="Calibri" w:eastAsia="Calibri" w:hAnsi="Calibri"/>
          <w:b/>
          <w:bCs/>
          <w:sz w:val="21"/>
          <w:szCs w:val="21"/>
        </w:rPr>
        <w:t xml:space="preserve">[DATE]</w:t>
      </w:r>
      <w:r>
        <w:rPr>
          <w:rFonts w:ascii="Calibri" w:cs="Calibri" w:eastAsia="Calibri" w:hAnsi="Calibri"/>
          <w:sz w:val="21"/>
          <w:szCs w:val="21"/>
        </w:rPr>
        <w:t xml:space="preserve">, and I understand that any claim not supported by evidence by that date will be disregarded in computing the tax to be deducted, and that the deduction will be recomputed accordingly for the remaining months of the year.</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I undertake to inform the Company promptly of any change in the particulars declared.</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I understand that I am responsible for the correctness of my claims and for my final tax position, and that the Company deducts tax on the basis of this declaration.</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FOR EMPLOYER USE</w:t>
      </w:r>
    </w:p>
    <w:p>
      <w:pPr>
        <w:spacing w:after="260"/>
        <w:jc w:val="center"/>
      </w:pPr>
      <w:r>
        <w:rPr>
          <w:rFonts w:ascii="Calibri" w:cs="Calibri" w:eastAsia="Calibri" w:hAnsi="Calibri"/>
          <w:i/>
          <w:iCs/>
          <w:color w:val="6E7480"/>
          <w:sz w:val="19"/>
          <w:szCs w:val="19"/>
        </w:rPr>
        <w:t xml:space="preserve">Verification and recomputation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3855"/>
        <w:gridCol w:w="2698"/>
        <w:gridCol w:w="1252"/>
        <w:gridCol w:w="1352"/>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By</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Declaration collected at the start of the year, or on joining</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Regime election recorded and applied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[New / Old / Default applied]</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Provisional deduction computed on the declaration</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 </w:t>
            </w:r>
            <w:r>
              <w:rPr>
                <w:rFonts w:ascii="Calibri" w:cs="Calibri" w:eastAsia="Calibri" w:hAnsi="Calibri"/>
                <w:b/>
                <w:bCs/>
                <w:sz w:val="18"/>
                <w:szCs w:val="18"/>
              </w:rPr>
              <w:t xml:space="preserve">[AMOUNT]</w:t>
            </w:r>
            <w:r>
              <w:rPr>
                <w:rFonts w:ascii="Calibri" w:cs="Calibri" w:eastAsia="Calibri" w:hAnsi="Calibri"/>
                <w:sz w:val="18"/>
                <w:szCs w:val="18"/>
              </w:rPr>
              <w:t xml:space="preserve"> per month</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Evidence cut-off communicated to the employee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Evidence received and verified against each claim</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[Claims allowed: ______; disallowed: ______]</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Landlord PAN obtained where the rent threshold is exceeded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 / Not applicable]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Previous employer salary and tax taken into account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Deduction recomputed and spread over the remaining months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 </w:t>
            </w:r>
            <w:r>
              <w:rPr>
                <w:rFonts w:ascii="Calibri" w:cs="Calibri" w:eastAsia="Calibri" w:hAnsi="Calibri"/>
                <w:b/>
                <w:bCs/>
                <w:sz w:val="18"/>
                <w:szCs w:val="18"/>
              </w:rPr>
              <w:t xml:space="preserve">[AMOUNT]</w:t>
            </w:r>
            <w:r>
              <w:rPr>
                <w:rFonts w:ascii="Calibri" w:cs="Calibri" w:eastAsia="Calibri" w:hAnsi="Calibri"/>
                <w:sz w:val="18"/>
                <w:szCs w:val="18"/>
              </w:rPr>
              <w:t xml:space="preserve"> per month</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 deposited within the prescribed period each month</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[ONGOING]</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Quarterly statements filed within the prescribed periods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[DATES]</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 certificate of tax deducted issued to the employee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Declaration and evidence retained for the retention period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employer carries the short-deduction exposure</w:t>
      </w:r>
    </w:p>
    <w:p>
      <w:pPr>
        <w:spacing w:after="60" w:line="264"/>
        <w:jc w:val="both"/>
      </w:pPr>
      <w:r>
        <w:rPr>
          <w:rFonts w:ascii="Calibri" w:cs="Calibri" w:eastAsia="Calibri" w:hAnsi="Calibri"/>
          <w:sz w:val="19"/>
          <w:szCs w:val="19"/>
        </w:rPr>
        <w:t xml:space="preserve">Where tax is under-deducted because a claim was accepted without evidence, the employer is liable for the shortfall together with interest, and the corresponding expenditure may be disallowed. The employee’s declaration does not transfer that risk. Steps 4, 5 and 8 of the employer record are the control: set a cut-off, verify against it, and recompute.</w:t>
      </w:r>
    </w:p>
    <w:p>
      <w:pPr>
        <w:keepNext/>
        <w:spacing w:after="40" w:before="140"/>
      </w:pPr>
      <w:r>
        <w:rPr>
          <w:rFonts w:ascii="Calibri" w:cs="Calibri" w:eastAsia="Calibri" w:hAnsi="Calibri"/>
          <w:b/>
          <w:bCs/>
          <w:color w:val="14161B"/>
          <w:sz w:val="20"/>
          <w:szCs w:val="20"/>
        </w:rPr>
        <w:t xml:space="preserve">Collect at the start, verify before the end</w:t>
      </w:r>
    </w:p>
    <w:p>
      <w:pPr>
        <w:spacing w:after="60" w:line="264"/>
        <w:jc w:val="both"/>
      </w:pPr>
      <w:r>
        <w:rPr>
          <w:rFonts w:ascii="Calibri" w:cs="Calibri" w:eastAsia="Calibri" w:hAnsi="Calibri"/>
          <w:sz w:val="19"/>
          <w:szCs w:val="19"/>
        </w:rPr>
        <w:t xml:space="preserve">The working pattern is a provisional declaration in the first month of the year, a stated evidence cut-off in the final quarter, and a recomputation spreading the corrected liability over the remaining months. Leaving verification to the last payroll run produces a large deduction in a single month and a set of complaints that were entirely avoidable.</w:t>
      </w:r>
    </w:p>
    <w:p>
      <w:pPr>
        <w:keepNext/>
        <w:spacing w:after="40" w:before="140"/>
      </w:pPr>
      <w:r>
        <w:rPr>
          <w:rFonts w:ascii="Calibri" w:cs="Calibri" w:eastAsia="Calibri" w:hAnsi="Calibri"/>
          <w:b/>
          <w:bCs/>
          <w:color w:val="14161B"/>
          <w:sz w:val="20"/>
          <w:szCs w:val="20"/>
        </w:rPr>
        <w:t xml:space="preserve">The regime election drives everything else</w:t>
      </w:r>
    </w:p>
    <w:p>
      <w:pPr>
        <w:spacing w:after="60" w:line="264"/>
        <w:jc w:val="both"/>
      </w:pPr>
      <w:r>
        <w:rPr>
          <w:rFonts w:ascii="Calibri" w:cs="Calibri" w:eastAsia="Calibri" w:hAnsi="Calibri"/>
          <w:sz w:val="19"/>
          <w:szCs w:val="19"/>
        </w:rPr>
        <w:t xml:space="preserve">Most exemptions and deductions in Parts 2, 3 and 5 are unavailable under the new regime, and the standard deduction and the rebate threshold differ between the two. Collect the election before computing anything. Where an employee makes no election, the default regime prescribed by law applies, and the employee should be told which one that is and what it means for take-home pay.</w:t>
      </w:r>
    </w:p>
    <w:p>
      <w:pPr>
        <w:keepNext/>
        <w:spacing w:after="40" w:before="140"/>
      </w:pPr>
      <w:r>
        <w:rPr>
          <w:rFonts w:ascii="Calibri" w:cs="Calibri" w:eastAsia="Calibri" w:hAnsi="Calibri"/>
          <w:b/>
          <w:bCs/>
          <w:color w:val="14161B"/>
          <w:sz w:val="20"/>
          <w:szCs w:val="20"/>
        </w:rPr>
        <w:t xml:space="preserve">The rebate threshold has changed</w:t>
      </w:r>
    </w:p>
    <w:p>
      <w:pPr>
        <w:spacing w:after="60" w:line="264"/>
        <w:jc w:val="both"/>
      </w:pPr>
      <w:r>
        <w:rPr>
          <w:rFonts w:ascii="Calibri" w:cs="Calibri" w:eastAsia="Calibri" w:hAnsi="Calibri"/>
          <w:sz w:val="19"/>
          <w:szCs w:val="19"/>
        </w:rPr>
        <w:t xml:space="preserve">The income threshold up to which a rebate is available under the new regime has been revised upward, and payroll systems configured against an older threshold will over-deduct. Confirm the current threshold before the first payroll run of the year rather than relying on last year’s configuration.</w:t>
      </w:r>
    </w:p>
    <w:p>
      <w:pPr>
        <w:keepNext/>
        <w:spacing w:after="40" w:before="140"/>
      </w:pPr>
      <w:r>
        <w:rPr>
          <w:rFonts w:ascii="Calibri" w:cs="Calibri" w:eastAsia="Calibri" w:hAnsi="Calibri"/>
          <w:b/>
          <w:bCs/>
          <w:color w:val="14161B"/>
          <w:sz w:val="20"/>
          <w:szCs w:val="20"/>
        </w:rPr>
        <w:t xml:space="preserve">Landlord PAN is mandatory above the threshold</w:t>
      </w:r>
    </w:p>
    <w:p>
      <w:pPr>
        <w:spacing w:after="60" w:line="264"/>
        <w:jc w:val="both"/>
      </w:pPr>
      <w:r>
        <w:rPr>
          <w:rFonts w:ascii="Calibri" w:cs="Calibri" w:eastAsia="Calibri" w:hAnsi="Calibri"/>
          <w:sz w:val="19"/>
          <w:szCs w:val="19"/>
        </w:rPr>
        <w:t xml:space="preserve">Where annual rent exceeds the prescribed threshold, the landlord’s permanent account number must be furnished and the claim is disallowed without it. Employees routinely submit receipts without it and are surprised in the final quarter. Flag the requirement in the first month, not the last.</w:t>
      </w:r>
    </w:p>
    <w:p>
      <w:pPr>
        <w:keepNext/>
        <w:spacing w:after="40" w:before="140"/>
      </w:pPr>
      <w:r>
        <w:rPr>
          <w:rFonts w:ascii="Calibri" w:cs="Calibri" w:eastAsia="Calibri" w:hAnsi="Calibri"/>
          <w:b/>
          <w:bCs/>
          <w:color w:val="14161B"/>
          <w:sz w:val="20"/>
          <w:szCs w:val="20"/>
        </w:rPr>
        <w:t xml:space="preserve">Rent paid may itself require withholding</w:t>
      </w:r>
    </w:p>
    <w:p>
      <w:pPr>
        <w:spacing w:after="60" w:line="264"/>
        <w:jc w:val="both"/>
      </w:pPr>
      <w:r>
        <w:rPr>
          <w:rFonts w:ascii="Calibri" w:cs="Calibri" w:eastAsia="Calibri" w:hAnsi="Calibri"/>
          <w:sz w:val="19"/>
          <w:szCs w:val="19"/>
        </w:rPr>
        <w:t xml:space="preserve">Where an individual pays rent above the prescribed monthly threshold, an obligation to deduct tax on the rent may fall on the tenant personally. That is the employee’s obligation, not the employer’s, but question 9 in Part 2 surfaces it so the employee is not caught unaware.</w:t>
      </w:r>
    </w:p>
    <w:p>
      <w:pPr>
        <w:keepNext/>
        <w:spacing w:after="40" w:before="140"/>
      </w:pPr>
      <w:r>
        <w:rPr>
          <w:rFonts w:ascii="Calibri" w:cs="Calibri" w:eastAsia="Calibri" w:hAnsi="Calibri"/>
          <w:b/>
          <w:bCs/>
          <w:color w:val="14161B"/>
          <w:sz w:val="20"/>
          <w:szCs w:val="20"/>
        </w:rPr>
        <w:t xml:space="preserve">Only house property loss may be set off against salary</w:t>
      </w:r>
    </w:p>
    <w:p>
      <w:pPr>
        <w:spacing w:after="60" w:line="264"/>
        <w:jc w:val="both"/>
      </w:pPr>
      <w:r>
        <w:rPr>
          <w:rFonts w:ascii="Calibri" w:cs="Calibri" w:eastAsia="Calibri" w:hAnsi="Calibri"/>
          <w:sz w:val="19"/>
          <w:szCs w:val="19"/>
        </w:rPr>
        <w:t xml:space="preserve">An employer may take into account a loss from house property when computing salary withholding. Other losses may not be considered. Part 7 says so expressly, because employees frequently ask for capital or business losses to be adjusted against salary.</w:t>
      </w:r>
    </w:p>
    <w:p>
      <w:pPr>
        <w:keepNext/>
        <w:spacing w:after="40" w:before="140"/>
      </w:pPr>
      <w:r>
        <w:rPr>
          <w:rFonts w:ascii="Calibri" w:cs="Calibri" w:eastAsia="Calibri" w:hAnsi="Calibri"/>
          <w:b/>
          <w:bCs/>
          <w:color w:val="14161B"/>
          <w:sz w:val="20"/>
          <w:szCs w:val="20"/>
        </w:rPr>
        <w:t xml:space="preserve">Previous employer income must be included where declared</w:t>
      </w:r>
    </w:p>
    <w:p>
      <w:pPr>
        <w:spacing w:after="60" w:line="264"/>
        <w:jc w:val="both"/>
      </w:pPr>
      <w:r>
        <w:rPr>
          <w:rFonts w:ascii="Calibri" w:cs="Calibri" w:eastAsia="Calibri" w:hAnsi="Calibri"/>
          <w:sz w:val="19"/>
          <w:szCs w:val="19"/>
        </w:rPr>
        <w:t xml:space="preserve">An employee joining mid-year should declare salary and tax from the previous employer so that the annual computation is correct. Without it, both employers deduct as though theirs is the only income, and the employee faces a shortfall with interest at filing. Ask for it at joining as part of the induction pack.</w:t>
      </w:r>
    </w:p>
    <w:p>
      <w:pPr>
        <w:keepNext/>
        <w:spacing w:after="40" w:before="140"/>
      </w:pPr>
      <w:r>
        <w:rPr>
          <w:rFonts w:ascii="Calibri" w:cs="Calibri" w:eastAsia="Calibri" w:hAnsi="Calibri"/>
          <w:b/>
          <w:bCs/>
          <w:color w:val="14161B"/>
          <w:sz w:val="20"/>
          <w:szCs w:val="20"/>
        </w:rPr>
        <w:t xml:space="preserve">Withholding provisions have been consolidated</w:t>
      </w:r>
    </w:p>
    <w:p>
      <w:pPr>
        <w:spacing w:after="60" w:line="264"/>
        <w:jc w:val="both"/>
      </w:pPr>
      <w:r>
        <w:rPr>
          <w:rFonts w:ascii="Calibri" w:cs="Calibri" w:eastAsia="Calibri" w:hAnsi="Calibri"/>
          <w:sz w:val="19"/>
          <w:szCs w:val="19"/>
        </w:rPr>
        <w:t xml:space="preserve">The provisions governing deduction of tax at source have been consolidated into the current income-tax legislation, replacing the earlier section-wise scheme. Quote the current section on challans, returns and certificates rather than the older numbering, which is still widely used in templates and payroll systems.</w:t>
      </w:r>
    </w:p>
    <w:p>
      <w:pPr>
        <w:keepNext/>
        <w:spacing w:after="40" w:before="140"/>
      </w:pPr>
      <w:r>
        <w:rPr>
          <w:rFonts w:ascii="Calibri" w:cs="Calibri" w:eastAsia="Calibri" w:hAnsi="Calibri"/>
          <w:b/>
          <w:bCs/>
          <w:color w:val="14161B"/>
          <w:sz w:val="20"/>
          <w:szCs w:val="20"/>
        </w:rPr>
        <w:t xml:space="preserve">Evidence, not assertion</w:t>
      </w:r>
    </w:p>
    <w:p>
      <w:pPr>
        <w:spacing w:after="60" w:line="264"/>
        <w:jc w:val="both"/>
      </w:pPr>
      <w:r>
        <w:rPr>
          <w:rFonts w:ascii="Calibri" w:cs="Calibri" w:eastAsia="Calibri" w:hAnsi="Calibri"/>
          <w:sz w:val="19"/>
          <w:szCs w:val="19"/>
        </w:rPr>
        <w:t xml:space="preserve">Each row in Part 5 names the evidence required. A declaration accepted on assertion alone is what produces the short deduction. Where an employee cannot produce evidence by the cut-off, disallow the claim for withholding purposes and tell them they may still claim it in their return.</w:t>
      </w:r>
    </w:p>
    <w:p>
      <w:pPr>
        <w:keepNext/>
        <w:spacing w:after="40" w:before="140"/>
      </w:pPr>
      <w:r>
        <w:rPr>
          <w:rFonts w:ascii="Calibri" w:cs="Calibri" w:eastAsia="Calibri" w:hAnsi="Calibri"/>
          <w:b/>
          <w:bCs/>
          <w:color w:val="14161B"/>
          <w:sz w:val="20"/>
          <w:szCs w:val="20"/>
        </w:rPr>
        <w:t xml:space="preserve">Retain the declaration and the evidence</w:t>
      </w:r>
    </w:p>
    <w:p>
      <w:pPr>
        <w:spacing w:after="60" w:line="264"/>
        <w:jc w:val="both"/>
      </w:pPr>
      <w:r>
        <w:rPr>
          <w:rFonts w:ascii="Calibri" w:cs="Calibri" w:eastAsia="Calibri" w:hAnsi="Calibri"/>
          <w:sz w:val="19"/>
          <w:szCs w:val="19"/>
        </w:rPr>
        <w:t xml:space="preserve">Both should be retained for the prescribed retention period. Where deduction is later questioned, the file showing what was declared, what evidence was produced, and how the deduction was recomputed is the answer.</w:t>
      </w:r>
    </w:p>
    <w:p>
      <w:pPr>
        <w:keepNext/>
        <w:spacing w:after="40" w:before="140"/>
      </w:pPr>
      <w:r>
        <w:rPr>
          <w:rFonts w:ascii="Calibri" w:cs="Calibri" w:eastAsia="Calibri" w:hAnsi="Calibri"/>
          <w:b/>
          <w:bCs/>
          <w:color w:val="14161B"/>
          <w:sz w:val="20"/>
          <w:szCs w:val="20"/>
        </w:rPr>
        <w:t xml:space="preserve">Use the prescribed form where one is prescribed</w:t>
      </w:r>
    </w:p>
    <w:p>
      <w:pPr>
        <w:spacing w:after="60" w:line="264"/>
        <w:jc w:val="both"/>
      </w:pPr>
      <w:r>
        <w:rPr>
          <w:rFonts w:ascii="Calibri" w:cs="Calibri" w:eastAsia="Calibri" w:hAnsi="Calibri"/>
          <w:sz w:val="19"/>
          <w:szCs w:val="19"/>
        </w:rPr>
        <w:t xml:space="preserve">This template captures the substance the prescribed form requires and adds the verification workflow around it. Where a form is prescribed, use it, and keep this as the internal collection and verification record.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tax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Rates, thresholds, the deductions available under each regime, the default regime, the rebate threshold and the prescribed forms all change every year — have the payroll configuration and this form reviewed by a tax adviser before the first payroll run of each financial year.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2026-08-21T12:53:55.406Z</dcterms:created>
  <dcterms:modified xsi:type="dcterms:W3CDTF">2026-08-21T12:53:55.406Z</dcterms:modified>
</cp:coreProperties>
</file>

<file path=docProps/custom.xml><?xml version="1.0" encoding="utf-8"?>
<Properties xmlns="http://schemas.openxmlformats.org/officeDocument/2006/custom-properties" xmlns:vt="http://schemas.openxmlformats.org/officeDocument/2006/docPropsVTypes"/>
</file>