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FULL AND FINAL SETTLEMENT</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Wages due on the termination of employment must be paid within two working days of the employment ending, whatever the reason. That deadline governs the whole exit process: clearances, recovery of advances and the final computation all have to be completed before the last working day, not after it. An exit process that begins on the last working day cannot comply.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name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and department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r>
              <w:rPr>
                <w:rFonts w:ascii="Calibri" w:cs="Calibri" w:eastAsia="Calibri" w:hAnsi="Calibri"/>
                <w:sz w:val="19"/>
                <w:szCs w:val="19"/>
              </w:rPr>
              <w:t xml:space="preserve">, </w:t>
            </w:r>
            <w:r>
              <w:rPr>
                <w:rFonts w:ascii="Calibri" w:cs="Calibri" w:eastAsia="Calibri" w:hAnsi="Calibri"/>
                <w:b/>
                <w:bCs/>
                <w:sz w:val="19"/>
                <w:szCs w:val="19"/>
              </w:rPr>
              <w:t xml:space="preserve">[DEPARTMENT]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resignation or notice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working day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separation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[Resignation / Termination without cause / Termination for misconduct / Retirement / End of fixed term / Death]</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service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[YEARS]</w:t>
            </w:r>
            <w:r>
              <w:rPr>
                <w:rFonts w:ascii="Calibri" w:cs="Calibri" w:eastAsia="Calibri" w:hAnsi="Calibri"/>
                <w:sz w:val="19"/>
                <w:szCs w:val="19"/>
              </w:rPr>
              <w:t xml:space="preserve"> years </w:t>
            </w:r>
            <w:r>
              <w:rPr>
                <w:rFonts w:ascii="Calibri" w:cs="Calibri" w:eastAsia="Calibri" w:hAnsi="Calibri"/>
                <w:b/>
                <w:bCs/>
                <w:sz w:val="19"/>
                <w:szCs w:val="19"/>
              </w:rPr>
              <w:t xml:space="preserve">[MONTHS]</w:t>
            </w:r>
            <w:r>
              <w:rPr>
                <w:rFonts w:ascii="Calibri" w:cs="Calibri" w:eastAsia="Calibri" w:hAnsi="Calibri"/>
                <w:sz w:val="19"/>
                <w:szCs w:val="19"/>
              </w:rPr>
              <w:t xml:space="preserve"> months </w:t>
            </w:r>
            <w:r>
              <w:rPr>
                <w:rFonts w:ascii="Calibri" w:cs="Calibri" w:eastAsia="Calibri" w:hAnsi="Calibri"/>
                <w:b/>
                <w:bCs/>
                <w:sz w:val="19"/>
                <w:szCs w:val="19"/>
              </w:rPr>
              <w:t xml:space="preserve">[DAYS]</w:t>
            </w:r>
            <w:r>
              <w:rPr>
                <w:rFonts w:ascii="Calibri" w:cs="Calibri" w:eastAsia="Calibri" w:hAnsi="Calibri"/>
                <w:sz w:val="19"/>
                <w:szCs w:val="19"/>
              </w:rPr>
              <w:t xml:space="preserve"> days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 required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[days / months]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 served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[days / months]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Settlement due by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two working days from the last working day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Settlement paid 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r>
              <w:rPr>
                <w:rFonts w:ascii="Calibri" w:cs="Calibri" w:eastAsia="Calibri" w:hAnsi="Calibri"/>
                <w:sz w:val="19"/>
                <w:szCs w:val="19"/>
              </w:rPr>
              <w:t xml:space="preserve">  UAN: </w:t>
            </w:r>
            <w:r>
              <w:rPr>
                <w:rFonts w:ascii="Calibri" w:cs="Calibri" w:eastAsia="Calibri" w:hAnsi="Calibri"/>
                <w:b/>
                <w:bCs/>
                <w:sz w:val="19"/>
                <w:szCs w:val="19"/>
              </w:rPr>
              <w:t xml:space="preserve">[UAN]</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SETTLEMENT STATEMENT</w:t>
      </w:r>
    </w:p>
    <w:p>
      <w:pPr>
        <w:spacing w:after="260"/>
        <w:jc w:val="center"/>
      </w:pPr>
      <w:r>
        <w:rPr>
          <w:rFonts w:ascii="Calibri" w:cs="Calibri" w:eastAsia="Calibri" w:hAnsi="Calibri"/>
          <w:i/>
          <w:iCs/>
          <w:color w:val="6E7480"/>
          <w:sz w:val="19"/>
          <w:szCs w:val="19"/>
        </w:rPr>
        <w:t xml:space="preserve">Computation of amounts payable and recoverable</w:t>
      </w:r>
    </w:p>
    <w:p>
      <w:pPr>
        <w:keepNext/>
        <w:spacing w:after="100" w:before="200"/>
        <w:outlineLvl w:val="1"/>
      </w:pPr>
      <w:r>
        <w:rPr>
          <w:rFonts w:ascii="Calibri" w:cs="Calibri" w:eastAsia="Calibri" w:hAnsi="Calibri"/>
          <w:b/>
          <w:bCs/>
          <w:color w:val="14161B"/>
          <w:sz w:val="21"/>
          <w:szCs w:val="21"/>
        </w:rPr>
        <w:t xml:space="preserve">Part A — Amounts payable to the employee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3007"/>
        <w:gridCol w:w="4511"/>
        <w:gridCol w:w="1804"/>
        <w:gridCol w:w="1203"/>
        <w:gridCol w:w="1804"/>
        <w:gridCol w:w="2108"/>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Component</w:t>
            </w:r>
          </w:p>
        </w:tc>
        <w:tc>
          <w:tcPr>
            <w:tcW w:type="dxa" w:w="45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 of computation</w:t>
            </w:r>
          </w:p>
        </w:tc>
        <w:tc>
          <w:tcPr>
            <w:tcW w:type="dxa" w:w="180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Days</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Rate (₹)</w:t>
            </w:r>
          </w:p>
        </w:tc>
        <w:tc>
          <w:tcPr>
            <w:tcW w:type="dxa" w:w="210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 (₹)</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for the final month</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Gross salary ÷ days in month × days worked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[FROM]</w:t>
            </w:r>
            <w:r>
              <w:rPr>
                <w:rFonts w:ascii="Calibri" w:cs="Calibri" w:eastAsia="Calibri" w:hAnsi="Calibri"/>
                <w:sz w:val="17"/>
                <w:szCs w:val="17"/>
              </w:rPr>
              <w:t xml:space="preserve">–</w:t>
            </w:r>
            <w:r>
              <w:rPr>
                <w:rFonts w:ascii="Calibri" w:cs="Calibri" w:eastAsia="Calibri" w:hAnsi="Calibri"/>
                <w:b/>
                <w:bCs/>
                <w:sz w:val="17"/>
                <w:szCs w:val="17"/>
              </w:rPr>
              <w:t xml:space="preserve">[TO]</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[DAYS]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[RATE]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 encashment — earned leave</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Wages as statutorily defined ÷ 26 × leave balance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[BALANCE]</w:t>
            </w:r>
            <w:r>
              <w:rPr>
                <w:rFonts w:ascii="Calibri" w:cs="Calibri" w:eastAsia="Calibri" w:hAnsi="Calibri"/>
                <w:sz w:val="17"/>
                <w:szCs w:val="17"/>
              </w:rPr>
              <w:t xml:space="preserve"> days</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[DAYS]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[RATE]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Gratuity</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Last drawn wages ÷ 26 × 15 × completed years of service</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[YEARS]</w:t>
            </w:r>
            <w:r>
              <w:rPr>
                <w:rFonts w:ascii="Calibri" w:cs="Calibri" w:eastAsia="Calibri" w:hAnsi="Calibri"/>
                <w:sz w:val="17"/>
                <w:szCs w:val="17"/>
              </w:rPr>
              <w:t xml:space="preserve"> years</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[RATE]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Notice pay payable by the Company</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Company waives notice or terminates with immediate effect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[DAYS]</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[RATE]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Variable pay or bonus</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[Pro-rated for the part year, per the terms of the appointment letter]</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bonus, where applicable</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computed under applicable law</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Reimbursement of expenses</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Claims approved and unpaid</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Retrenchment compensation, where applicable</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computed under applicable law</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Severance, where contractually payable</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Clause </w:t>
            </w:r>
            <w:r>
              <w:rPr>
                <w:rFonts w:ascii="Calibri" w:cs="Calibri" w:eastAsia="Calibri" w:hAnsi="Calibri"/>
                <w:b/>
                <w:bCs/>
                <w:sz w:val="17"/>
                <w:szCs w:val="17"/>
              </w:rPr>
              <w:t xml:space="preserve">[NUMBER]</w:t>
            </w:r>
            <w:r>
              <w:rPr>
                <w:rFonts w:ascii="Calibri" w:cs="Calibri" w:eastAsia="Calibri" w:hAnsi="Calibri"/>
                <w:sz w:val="17"/>
                <w:szCs w:val="17"/>
              </w:rPr>
              <w:t xml:space="preserve"> of the </w:t>
            </w:r>
            <w:r>
              <w:rPr>
                <w:rFonts w:ascii="Calibri" w:cs="Calibri" w:eastAsia="Calibri" w:hAnsi="Calibri"/>
                <w:b/>
                <w:bCs/>
                <w:sz w:val="17"/>
                <w:szCs w:val="17"/>
              </w:rPr>
              <w:t xml:space="preserve">[agreement]</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[Other — specify]</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1804"/>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[PERIOD]</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payable (A)</w:t>
            </w:r>
          </w:p>
        </w:tc>
        <w:tc>
          <w:tcPr>
            <w:tcW w:type="dxa" w:w="4511"/>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center"/>
            </w:pPr>
          </w:p>
        </w:tc>
        <w:tc>
          <w:tcPr>
            <w:tcW w:type="dxa" w:w="1203"/>
            <w:tcMar>
              <w:top w:type="dxa" w:w="70"/>
              <w:left w:type="dxa" w:w="100"/>
              <w:bottom w:type="dxa" w:w="70"/>
              <w:right w:type="dxa" w:w="100"/>
            </w:tcMar>
            <w:vAlign w:val="center"/>
          </w:tcPr>
          <w:p>
            <w:pPr>
              <w:spacing w:after="0" w:line="240"/>
              <w:jc w:val="right"/>
            </w:pPr>
          </w:p>
        </w:tc>
        <w:tc>
          <w:tcPr>
            <w:tcW w:type="dxa" w:w="1804"/>
            <w:tcMar>
              <w:top w:type="dxa" w:w="70"/>
              <w:left w:type="dxa" w:w="100"/>
              <w:bottom w:type="dxa" w:w="70"/>
              <w:right w:type="dxa" w:w="100"/>
            </w:tcMar>
            <w:vAlign w:val="center"/>
          </w:tcPr>
          <w:p>
            <w:pPr>
              <w:spacing w:after="0" w:line="240"/>
              <w:jc w:val="right"/>
            </w:pPr>
          </w:p>
        </w:tc>
        <w:tc>
          <w:tcPr>
            <w:tcW w:type="dxa" w:w="210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bl>
    <w:p>
      <w:pPr>
        <w:spacing w:after="160"/>
      </w:pPr>
    </w:p>
    <w:p>
      <w:pPr>
        <w:keepNext/>
        <w:spacing w:after="100" w:before="200"/>
        <w:outlineLvl w:val="1"/>
      </w:pPr>
      <w:r>
        <w:rPr>
          <w:rFonts w:ascii="Calibri" w:cs="Calibri" w:eastAsia="Calibri" w:hAnsi="Calibri"/>
          <w:b/>
          <w:bCs/>
          <w:color w:val="14161B"/>
          <w:sz w:val="21"/>
          <w:szCs w:val="21"/>
        </w:rPr>
        <w:t xml:space="preserve">Part B — Amounts recoverable from the employee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3609"/>
        <w:gridCol w:w="4210"/>
        <w:gridCol w:w="3909"/>
        <w:gridCol w:w="2709"/>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36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Component</w:t>
            </w:r>
          </w:p>
        </w:tc>
        <w:tc>
          <w:tcPr>
            <w:tcW w:type="dxa" w:w="421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 of computation</w:t>
            </w:r>
          </w:p>
        </w:tc>
        <w:tc>
          <w:tcPr>
            <w:tcW w:type="dxa" w:w="3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Authority for the deduction</w:t>
            </w:r>
          </w:p>
        </w:tc>
        <w:tc>
          <w:tcPr>
            <w:tcW w:type="dxa" w:w="270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 (₹)</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Notice pay recoverable, where notice not served</w:t>
            </w:r>
          </w:p>
        </w:tc>
        <w:tc>
          <w:tcPr>
            <w:tcW w:type="dxa" w:w="421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appointment letter</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 permitted deduction</w:t>
            </w:r>
          </w:p>
        </w:tc>
        <w:tc>
          <w:tcPr>
            <w:tcW w:type="dxa" w:w="270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advance outstanding</w:t>
            </w:r>
          </w:p>
        </w:tc>
        <w:tc>
          <w:tcPr>
            <w:tcW w:type="dxa" w:w="421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Ledger balance as at the last working day</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Permitted deduction</w:t>
            </w:r>
          </w:p>
        </w:tc>
        <w:tc>
          <w:tcPr>
            <w:tcW w:type="dxa" w:w="270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Loan outstanding</w:t>
            </w:r>
          </w:p>
        </w:tc>
        <w:tc>
          <w:tcPr>
            <w:tcW w:type="dxa" w:w="421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Principal and interest to the last working day</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Loan agreement dated </w:t>
            </w:r>
            <w:r>
              <w:rPr>
                <w:rFonts w:ascii="Calibri" w:cs="Calibri" w:eastAsia="Calibri" w:hAnsi="Calibri"/>
                <w:b/>
                <w:bCs/>
                <w:sz w:val="17"/>
                <w:szCs w:val="17"/>
              </w:rPr>
              <w:t xml:space="preserve">[DATE]</w:t>
            </w:r>
          </w:p>
        </w:tc>
        <w:tc>
          <w:tcPr>
            <w:tcW w:type="dxa" w:w="270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Excess leave availed</w:t>
            </w:r>
          </w:p>
        </w:tc>
        <w:tc>
          <w:tcPr>
            <w:tcW w:type="dxa" w:w="421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 taken in excess of accrual</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Permitted deduction</w:t>
            </w:r>
          </w:p>
        </w:tc>
        <w:tc>
          <w:tcPr>
            <w:tcW w:type="dxa" w:w="270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property not returned</w:t>
            </w:r>
          </w:p>
        </w:tc>
        <w:tc>
          <w:tcPr>
            <w:tcW w:type="dxa" w:w="421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Depreciated value; itemise in the clearance record</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Permitted deduction, subject to the limit</w:t>
            </w:r>
          </w:p>
        </w:tc>
        <w:tc>
          <w:tcPr>
            <w:tcW w:type="dxa" w:w="270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Joining bonus or relocation clawback</w:t>
            </w:r>
          </w:p>
        </w:tc>
        <w:tc>
          <w:tcPr>
            <w:tcW w:type="dxa" w:w="421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offer letter</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w:t>
            </w:r>
          </w:p>
        </w:tc>
        <w:tc>
          <w:tcPr>
            <w:tcW w:type="dxa" w:w="270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Training cost recoverable under a bond</w:t>
            </w:r>
          </w:p>
        </w:tc>
        <w:tc>
          <w:tcPr>
            <w:tcW w:type="dxa" w:w="421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Actual cost incurred, apportioned for service completed</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Bond dated </w:t>
            </w:r>
            <w:r>
              <w:rPr>
                <w:rFonts w:ascii="Calibri" w:cs="Calibri" w:eastAsia="Calibri" w:hAnsi="Calibri"/>
                <w:b/>
                <w:bCs/>
                <w:sz w:val="17"/>
                <w:szCs w:val="17"/>
              </w:rPr>
              <w:t xml:space="preserve">[DATE]</w:t>
            </w:r>
            <w:r>
              <w:rPr>
                <w:rFonts w:ascii="Calibri" w:cs="Calibri" w:eastAsia="Calibri" w:hAnsi="Calibri"/>
                <w:sz w:val="17"/>
                <w:szCs w:val="17"/>
              </w:rPr>
              <w:t xml:space="preserve"> — see the notes</w:t>
            </w:r>
          </w:p>
        </w:tc>
        <w:tc>
          <w:tcPr>
            <w:tcW w:type="dxa" w:w="270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[Other — specify]</w:t>
            </w:r>
          </w:p>
        </w:tc>
        <w:tc>
          <w:tcPr>
            <w:tcW w:type="dxa" w:w="421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[AUTHORITY]</w:t>
            </w:r>
          </w:p>
        </w:tc>
        <w:tc>
          <w:tcPr>
            <w:tcW w:type="dxa" w:w="270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center"/>
            </w:pP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recoverable (B)</w:t>
            </w:r>
          </w:p>
        </w:tc>
        <w:tc>
          <w:tcPr>
            <w:tcW w:type="dxa" w:w="4210"/>
            <w:tcMar>
              <w:top w:type="dxa" w:w="70"/>
              <w:left w:type="dxa" w:w="100"/>
              <w:bottom w:type="dxa" w:w="70"/>
              <w:right w:type="dxa" w:w="100"/>
            </w:tcMar>
            <w:vAlign w:val="center"/>
          </w:tcPr>
          <w:p>
            <w:pPr>
              <w:spacing w:after="0" w:line="240"/>
              <w:jc w:val="left"/>
            </w:pPr>
          </w:p>
        </w:tc>
        <w:tc>
          <w:tcPr>
            <w:tcW w:type="dxa" w:w="3909"/>
            <w:tcMar>
              <w:top w:type="dxa" w:w="70"/>
              <w:left w:type="dxa" w:w="100"/>
              <w:bottom w:type="dxa" w:w="70"/>
              <w:right w:type="dxa" w:w="100"/>
            </w:tcMar>
            <w:vAlign w:val="center"/>
          </w:tcPr>
          <w:p>
            <w:pPr>
              <w:spacing w:after="0" w:line="240"/>
              <w:jc w:val="left"/>
            </w:pPr>
          </w:p>
        </w:tc>
        <w:tc>
          <w:tcPr>
            <w:tcW w:type="dxa" w:w="270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bl>
    <w:p>
      <w:pPr>
        <w:spacing w:after="160"/>
      </w:pPr>
    </w:p>
    <w:p>
      <w:pPr>
        <w:keepNext/>
        <w:spacing w:after="100" w:before="200"/>
        <w:outlineLvl w:val="1"/>
      </w:pPr>
      <w:r>
        <w:rPr>
          <w:rFonts w:ascii="Calibri" w:cs="Calibri" w:eastAsia="Calibri" w:hAnsi="Calibri"/>
          <w:b/>
          <w:bCs/>
          <w:color w:val="14161B"/>
          <w:sz w:val="21"/>
          <w:szCs w:val="21"/>
        </w:rPr>
        <w:t xml:space="preserve">Part C — Net settlement</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8421"/>
        <w:gridCol w:w="6617"/>
      </w:tblGrid>
      <w:tr>
        <w:trPr>
          <w:tblHeader/>
        </w:trPr>
        <w:tc>
          <w:tcPr>
            <w:tcW w:type="dxa" w:w="842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Particular</w:t>
            </w:r>
          </w:p>
        </w:tc>
        <w:tc>
          <w:tcPr>
            <w:tcW w:type="dxa" w:w="661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 (₹)</w:t>
            </w:r>
          </w:p>
        </w:tc>
      </w:tr>
      <w:tr>
        <w:tc>
          <w:tcPr>
            <w:tcW w:type="dxa" w:w="84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payable (A)</w:t>
            </w:r>
          </w:p>
        </w:tc>
        <w:tc>
          <w:tcPr>
            <w:tcW w:type="dxa" w:w="661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84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total recoverable (B)</w:t>
            </w:r>
          </w:p>
        </w:tc>
        <w:tc>
          <w:tcPr>
            <w:tcW w:type="dxa" w:w="6617"/>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842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Gross settlement</w:t>
            </w:r>
          </w:p>
        </w:tc>
        <w:tc>
          <w:tcPr>
            <w:tcW w:type="dxa" w:w="661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84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tax deducted at source</w:t>
            </w:r>
          </w:p>
        </w:tc>
        <w:tc>
          <w:tcPr>
            <w:tcW w:type="dxa" w:w="6617"/>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84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employee provident fund contribution for the final period</w:t>
            </w:r>
          </w:p>
        </w:tc>
        <w:tc>
          <w:tcPr>
            <w:tcW w:type="dxa" w:w="6617"/>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84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w:t>
            </w:r>
            <w:r>
              <w:rPr>
                <w:rFonts w:ascii="Calibri" w:cs="Calibri" w:eastAsia="Calibri" w:hAnsi="Calibri"/>
                <w:b/>
                <w:bCs/>
                <w:sz w:val="17"/>
                <w:szCs w:val="17"/>
              </w:rPr>
              <w:t xml:space="preserve">[other statutory deduction]</w:t>
            </w:r>
          </w:p>
        </w:tc>
        <w:tc>
          <w:tcPr>
            <w:tcW w:type="dxa" w:w="6617"/>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842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Net amount payable to the employee</w:t>
            </w:r>
          </w:p>
        </w:tc>
        <w:tc>
          <w:tcPr>
            <w:tcW w:type="dxa" w:w="661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84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Mode of payment</w:t>
            </w:r>
          </w:p>
        </w:tc>
        <w:tc>
          <w:tcPr>
            <w:tcW w:type="dxa" w:w="661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[Bank transfer to account ______, IFSC ______]</w:t>
            </w:r>
          </w:p>
        </w:tc>
      </w:tr>
      <w:tr>
        <w:tc>
          <w:tcPr>
            <w:tcW w:type="dxa" w:w="84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Date of payment</w:t>
            </w:r>
          </w:p>
        </w:tc>
        <w:tc>
          <w:tcPr>
            <w:tcW w:type="dxa" w:w="661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[DATE]</w:t>
            </w:r>
          </w:p>
        </w:tc>
      </w:tr>
      <w:tr>
        <w:tc>
          <w:tcPr>
            <w:tcW w:type="dxa" w:w="842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Transaction reference</w:t>
            </w:r>
          </w:p>
        </w:tc>
        <w:tc>
          <w:tcPr>
            <w:tcW w:type="dxa" w:w="661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[REFERENCE]</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spacing w:after="60" w:before="240"/>
        <w:jc w:val="center"/>
      </w:pPr>
      <w:r>
        <w:rPr>
          <w:rFonts w:ascii="Calibri" w:cs="Calibri" w:eastAsia="Calibri" w:hAnsi="Calibri"/>
          <w:b/>
          <w:bCs/>
          <w:color w:val="14161B"/>
          <w:spacing w:val="12"/>
          <w:sz w:val="28"/>
          <w:szCs w:val="28"/>
        </w:rPr>
        <w:t xml:space="preserve">CLEARANCE RECORD</w:t>
      </w:r>
    </w:p>
    <w:p>
      <w:pPr>
        <w:spacing w:after="260"/>
        <w:jc w:val="center"/>
      </w:pPr>
      <w:r>
        <w:rPr>
          <w:rFonts w:ascii="Calibri" w:cs="Calibri" w:eastAsia="Calibri" w:hAnsi="Calibri"/>
          <w:i/>
          <w:iCs/>
          <w:color w:val="6E7480"/>
          <w:sz w:val="19"/>
          <w:szCs w:val="19"/>
        </w:rPr>
        <w:t xml:space="preserve">To be completed before the last working day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542"/>
        <w:gridCol w:w="3276"/>
        <w:gridCol w:w="1349"/>
        <w:gridCol w:w="1156"/>
        <w:gridCol w:w="1156"/>
        <w:gridCol w:w="774"/>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Department</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Item</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 recoverable (₹)</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Cleared by</w:t>
            </w:r>
          </w:p>
        </w:tc>
        <w:tc>
          <w:tcPr>
            <w:tcW w:type="dxa" w:w="7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Information technology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Laptop, peripherals, mobile device, accessories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[Returned / Not returned]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Information technology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Access revoked — email, systems, cloud, code repositories, VPN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Administration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Identity card, access card, keys, uniform</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Finance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Advances, loans, expense claims settled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[Cleared]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Finance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Corporate credit card returned and dues settled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[Cleared]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Function or manager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Handover of work, documents, passwords and customer contacts completed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Function or manager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records, files and data returned; personal copies deleted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Human resources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Exit interview conducted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Human resources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 balance verified against the leave register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[Verified]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Human resources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details and address confirmed for settlement and future correspondence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Legal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Confidentiality and intellectual property obligations reconfirmed in writing</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Legal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Signatory authority, bank mandates and powers of attorney revoked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385"/>
            <w:tcMar>
              <w:top w:type="dxa" w:w="70"/>
              <w:left w:type="dxa" w:w="100"/>
              <w:bottom w:type="dxa" w:w="70"/>
              <w:right w:type="dxa" w:w="100"/>
            </w:tcMar>
            <w:vAlign w:val="center"/>
          </w:tcPr>
          <w:p>
            <w:pPr>
              <w:spacing w:after="0" w:line="240"/>
              <w:jc w:val="left"/>
            </w:pPr>
          </w:p>
        </w:tc>
        <w:tc>
          <w:tcPr>
            <w:tcW w:type="dxa" w:w="1542"/>
            <w:tcMar>
              <w:top w:type="dxa" w:w="70"/>
              <w:left w:type="dxa" w:w="100"/>
              <w:bottom w:type="dxa" w:w="70"/>
              <w:right w:type="dxa" w:w="100"/>
            </w:tcMar>
            <w:vAlign w:val="center"/>
          </w:tcPr>
          <w:p>
            <w:pPr>
              <w:spacing w:after="0" w:line="240"/>
              <w:jc w:val="left"/>
            </w:pP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recoverable</w:t>
            </w:r>
          </w:p>
        </w:tc>
        <w:tc>
          <w:tcPr>
            <w:tcW w:type="dxa" w:w="1349"/>
            <w:tcMar>
              <w:top w:type="dxa" w:w="70"/>
              <w:left w:type="dxa" w:w="100"/>
              <w:bottom w:type="dxa" w:w="70"/>
              <w:right w:type="dxa" w:w="100"/>
            </w:tcMar>
            <w:vAlign w:val="center"/>
          </w:tcPr>
          <w:p>
            <w:pPr>
              <w:spacing w:after="0" w:line="240"/>
              <w:jc w:val="left"/>
            </w:pP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c>
          <w:tcPr>
            <w:tcW w:type="dxa" w:w="1156"/>
            <w:tcMar>
              <w:top w:type="dxa" w:w="70"/>
              <w:left w:type="dxa" w:w="100"/>
              <w:bottom w:type="dxa" w:w="70"/>
              <w:right w:type="dxa" w:w="100"/>
            </w:tcMar>
            <w:vAlign w:val="center"/>
          </w:tcPr>
          <w:p>
            <w:pPr>
              <w:spacing w:after="0" w:line="240"/>
              <w:jc w:val="left"/>
            </w:pPr>
          </w:p>
        </w:tc>
        <w:tc>
          <w:tcPr>
            <w:tcW w:type="dxa" w:w="774"/>
            <w:tcMar>
              <w:top w:type="dxa" w:w="70"/>
              <w:left w:type="dxa" w:w="100"/>
              <w:bottom w:type="dxa" w:w="70"/>
              <w:right w:type="dxa" w:w="100"/>
            </w:tcMar>
            <w:vAlign w:val="center"/>
          </w:tcPr>
          <w:p>
            <w:pPr>
              <w:spacing w:after="0" w:line="240"/>
              <w:jc w:val="left"/>
            </w:pPr>
          </w:p>
        </w:tc>
      </w:tr>
    </w:tbl>
    <w:p>
      <w:pPr>
        <w:spacing w:after="180"/>
      </w:pPr>
    </w:p>
    <w:p>
      <w:pPr>
        <w:spacing w:after="240" w:before="240"/>
        <w:jc w:val="center"/>
      </w:pPr>
      <w:r>
        <w:rPr>
          <w:rFonts w:ascii="Calibri" w:cs="Calibri" w:eastAsia="Calibri" w:hAnsi="Calibri"/>
          <w:b/>
          <w:bCs/>
          <w:color w:val="14161B"/>
          <w:spacing w:val="12"/>
          <w:sz w:val="28"/>
          <w:szCs w:val="28"/>
        </w:rPr>
        <w:t xml:space="preserve">POST-SETTLEMENT ACTIONS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819"/>
        <w:gridCol w:w="1542"/>
        <w:gridCol w:w="1927"/>
        <w:gridCol w:w="86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Responsibility</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Timing</w:t>
            </w:r>
          </w:p>
        </w:tc>
        <w:tc>
          <w:tcPr>
            <w:tcW w:type="dxa" w:w="8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Settlement paid within two working days of the last working day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Payroll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two working days</w:t>
            </w:r>
          </w:p>
        </w:tc>
        <w:tc>
          <w:tcPr>
            <w:tcW w:type="dxa" w:w="8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Relieving letter issued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Human resources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or before the last working day</w:t>
            </w:r>
          </w:p>
        </w:tc>
        <w:tc>
          <w:tcPr>
            <w:tcW w:type="dxa" w:w="8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Experience certificate issued, on request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Human resources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request</w:t>
            </w:r>
          </w:p>
        </w:tc>
        <w:tc>
          <w:tcPr>
            <w:tcW w:type="dxa" w:w="8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Provident fund exit date updated and the employee informed of the withdrawal or transfer process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Payroll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8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Gratuity paid, where payable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Payroll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8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removed from insurance cover, and the employee informed of the date cover ends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Human resources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the last working day</w:t>
            </w:r>
          </w:p>
        </w:tc>
        <w:tc>
          <w:tcPr>
            <w:tcW w:type="dxa" w:w="8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deducted deposited and the annual statement issued for the year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Payroll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prescribed periods</w:t>
            </w:r>
          </w:p>
        </w:tc>
        <w:tc>
          <w:tcPr>
            <w:tcW w:type="dxa" w:w="8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Statutory registers and the employee register updated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Human resources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separation</w:t>
            </w:r>
          </w:p>
        </w:tc>
        <w:tc>
          <w:tcPr>
            <w:tcW w:type="dxa" w:w="8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records retained for the prescribed retention period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Human resources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Ongoing</w:t>
            </w:r>
          </w:p>
        </w:tc>
        <w:tc>
          <w:tcPr>
            <w:tcW w:type="dxa" w:w="8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separation was by death, settlement paid to the nominee on production of the prescribed documents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Payroll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Promptly</w:t>
            </w:r>
          </w:p>
        </w:tc>
        <w:tc>
          <w:tcPr>
            <w:tcW w:type="dxa" w:w="8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spacing w:after="240" w:before="240"/>
        <w:jc w:val="center"/>
      </w:pPr>
      <w:r>
        <w:rPr>
          <w:rFonts w:ascii="Calibri" w:cs="Calibri" w:eastAsia="Calibri" w:hAnsi="Calibri"/>
          <w:b/>
          <w:bCs/>
          <w:color w:val="14161B"/>
          <w:spacing w:val="12"/>
          <w:sz w:val="28"/>
          <w:szCs w:val="28"/>
        </w:rPr>
        <w:t xml:space="preserve">ACKNOWLEDGEMENT BY THE EMPLOYEE</w:t>
      </w:r>
    </w:p>
    <w:p>
      <w:pPr>
        <w:spacing w:after="12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r>
        <w:rPr>
          <w:rFonts w:ascii="Calibri" w:cs="Calibri" w:eastAsia="Calibri" w:hAnsi="Calibri"/>
          <w:sz w:val="21"/>
          <w:szCs w:val="21"/>
        </w:rPr>
        <w:t xml:space="preserve">, acknowledge as follows:</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I have received the settlement statement and have had the opportunity to review the computation and to raise queries.</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I have received the net amount of </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by bank transfer on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[REFERENCE]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I have returned all property, documents, records, devices, credentials and information belonging to the Company, in any medium, and have deleted any copies in my possession or control.</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I confirm that my confidentiality obligations, and my obligations in respect of the Company’s intellectual property, continue after my employment and I will observe them.</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b/>
          <w:bCs/>
          <w:sz w:val="21"/>
          <w:szCs w:val="21"/>
        </w:rPr>
        <w:t xml:space="preserve">[Where the settlement is accepted in full and final satisfaction]</w:t>
      </w:r>
      <w:r>
        <w:rPr>
          <w:rFonts w:ascii="Calibri" w:cs="Calibri" w:eastAsia="Calibri" w:hAnsi="Calibri"/>
          <w:sz w:val="21"/>
          <w:szCs w:val="21"/>
        </w:rPr>
        <w:t xml:space="preserve"> I accept the above in full and final settlement of all amounts due to me from the Company in respect of my employment and its termination, and I have no further claim against the Company in that respect, save in respect of </w:t>
      </w:r>
      <w:r>
        <w:rPr>
          <w:rFonts w:ascii="Calibri" w:cs="Calibri" w:eastAsia="Calibri" w:hAnsi="Calibri"/>
          <w:b/>
          <w:bCs/>
          <w:sz w:val="21"/>
          <w:szCs w:val="21"/>
        </w:rPr>
        <w:t xml:space="preserve">[STATE ANY PRESERVED CLAIM, OR "none"]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I confirm that my address and bank details recorded above are correct and I will inform the Company of any change.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Two working days is the deadline, and it changes the process</w:t>
      </w:r>
    </w:p>
    <w:p>
      <w:pPr>
        <w:spacing w:after="60" w:line="264"/>
        <w:jc w:val="both"/>
      </w:pPr>
      <w:r>
        <w:rPr>
          <w:rFonts w:ascii="Calibri" w:cs="Calibri" w:eastAsia="Calibri" w:hAnsi="Calibri"/>
          <w:sz w:val="19"/>
          <w:szCs w:val="19"/>
        </w:rPr>
        <w:t xml:space="preserve">Wages due on termination must be paid within two working days of the employment ending, whatever the reason — resignation, dismissal, retrenchment or end of a fixed term. The practice of settling thirty or forty-five days after the last working day does not comply. The only way to meet it is to run clearances, recover advances and compute the settlement during the notice period, so that the payment is ready to release on the last working day.</w:t>
      </w:r>
    </w:p>
    <w:p>
      <w:pPr>
        <w:keepNext/>
        <w:spacing w:after="40" w:before="140"/>
      </w:pPr>
      <w:r>
        <w:rPr>
          <w:rFonts w:ascii="Calibri" w:cs="Calibri" w:eastAsia="Calibri" w:hAnsi="Calibri"/>
          <w:b/>
          <w:bCs/>
          <w:color w:val="14161B"/>
          <w:sz w:val="20"/>
          <w:szCs w:val="20"/>
        </w:rPr>
        <w:t xml:space="preserve">Compute on wages as statutorily defined</w:t>
      </w:r>
    </w:p>
    <w:p>
      <w:pPr>
        <w:spacing w:after="60" w:line="264"/>
        <w:jc w:val="both"/>
      </w:pPr>
      <w:r>
        <w:rPr>
          <w:rFonts w:ascii="Calibri" w:cs="Calibri" w:eastAsia="Calibri" w:hAnsi="Calibri"/>
          <w:sz w:val="19"/>
          <w:szCs w:val="19"/>
        </w:rPr>
        <w:t xml:space="preserve">Leave encashment and gratuity are computed on wages as the consolidated legislation defines them, which includes basic and dearness allowance and any retaining allowance, and requires that excluded components not exceed half of total remuneration. Where a salary was structured the old way, with a small basic, the statutory computation produces a larger figure than the payroll system may generate. Check the base before releasing the settlement.</w:t>
      </w:r>
    </w:p>
    <w:p>
      <w:pPr>
        <w:keepNext/>
        <w:spacing w:after="40" w:before="140"/>
      </w:pPr>
      <w:r>
        <w:rPr>
          <w:rFonts w:ascii="Calibri" w:cs="Calibri" w:eastAsia="Calibri" w:hAnsi="Calibri"/>
          <w:b/>
          <w:bCs/>
          <w:color w:val="14161B"/>
          <w:sz w:val="20"/>
          <w:szCs w:val="20"/>
        </w:rPr>
        <w:t xml:space="preserve">Gratuity and fixed-term employees</w:t>
      </w:r>
    </w:p>
    <w:p>
      <w:pPr>
        <w:spacing w:after="60" w:line="264"/>
        <w:jc w:val="both"/>
      </w:pPr>
      <w:r>
        <w:rPr>
          <w:rFonts w:ascii="Calibri" w:cs="Calibri" w:eastAsia="Calibri" w:hAnsi="Calibri"/>
          <w:sz w:val="19"/>
          <w:szCs w:val="19"/>
        </w:rPr>
        <w:t xml:space="preserve">Gratuity is ordinarily payable on completing the qualifying period of continuous service. A fixed-term employee is entitled to gratuity in proportion to service without completing that period. Do not apply the general qualifying period to a fixed-term employee.</w:t>
      </w:r>
    </w:p>
    <w:p>
      <w:pPr>
        <w:keepNext/>
        <w:spacing w:after="40" w:before="140"/>
      </w:pPr>
      <w:r>
        <w:rPr>
          <w:rFonts w:ascii="Calibri" w:cs="Calibri" w:eastAsia="Calibri" w:hAnsi="Calibri"/>
          <w:b/>
          <w:bCs/>
          <w:color w:val="14161B"/>
          <w:sz w:val="20"/>
          <w:szCs w:val="20"/>
        </w:rPr>
        <w:t xml:space="preserve">Deductions are limited</w:t>
      </w:r>
    </w:p>
    <w:p>
      <w:pPr>
        <w:spacing w:after="60" w:line="264"/>
        <w:jc w:val="both"/>
      </w:pPr>
      <w:r>
        <w:rPr>
          <w:rFonts w:ascii="Calibri" w:cs="Calibri" w:eastAsia="Calibri" w:hAnsi="Calibri"/>
          <w:sz w:val="19"/>
          <w:szCs w:val="19"/>
        </w:rPr>
        <w:t xml:space="preserve">Only deductions permitted by law may be made, and the aggregate of deductions in a wage period is subject to a statutory ceiling. Part B requires the authority for each deduction to be stated, which is a discipline worth keeping: recoveries that are contractual rather than statutory, such as a joining bonus clawback, need a contractual basis in a document the employee signed.</w:t>
      </w:r>
    </w:p>
    <w:p>
      <w:pPr>
        <w:keepNext/>
        <w:spacing w:after="40" w:before="140"/>
      </w:pPr>
      <w:r>
        <w:rPr>
          <w:rFonts w:ascii="Calibri" w:cs="Calibri" w:eastAsia="Calibri" w:hAnsi="Calibri"/>
          <w:b/>
          <w:bCs/>
          <w:color w:val="14161B"/>
          <w:sz w:val="20"/>
          <w:szCs w:val="20"/>
        </w:rPr>
        <w:t xml:space="preserve">Recovering the value of unreturned property</w:t>
      </w:r>
    </w:p>
    <w:p>
      <w:pPr>
        <w:spacing w:after="60" w:line="264"/>
        <w:jc w:val="both"/>
      </w:pPr>
      <w:r>
        <w:rPr>
          <w:rFonts w:ascii="Calibri" w:cs="Calibri" w:eastAsia="Calibri" w:hAnsi="Calibri"/>
          <w:sz w:val="19"/>
          <w:szCs w:val="19"/>
        </w:rPr>
        <w:t xml:space="preserve">Deducting the value of a laptop or a device is permitted within limits, but the amount must be reasonable and evidenced. Itemise it in the clearance record, use a depreciated value rather than replacement cost, and tell the employee before the settlement is released. An unexplained deduction is the most common trigger for a post-exit dispute.</w:t>
      </w:r>
    </w:p>
    <w:p>
      <w:pPr>
        <w:keepNext/>
        <w:spacing w:after="40" w:before="140"/>
      </w:pPr>
      <w:r>
        <w:rPr>
          <w:rFonts w:ascii="Calibri" w:cs="Calibri" w:eastAsia="Calibri" w:hAnsi="Calibri"/>
          <w:b/>
          <w:bCs/>
          <w:color w:val="14161B"/>
          <w:sz w:val="20"/>
          <w:szCs w:val="20"/>
        </w:rPr>
        <w:t xml:space="preserve">Employment bonds recover cost, not a penalty</w:t>
      </w:r>
    </w:p>
    <w:p>
      <w:pPr>
        <w:spacing w:after="60" w:line="264"/>
        <w:jc w:val="both"/>
      </w:pPr>
      <w:r>
        <w:rPr>
          <w:rFonts w:ascii="Calibri" w:cs="Calibri" w:eastAsia="Calibri" w:hAnsi="Calibri"/>
          <w:sz w:val="19"/>
          <w:szCs w:val="19"/>
        </w:rPr>
        <w:t xml:space="preserve">A recovery under a training bond is enforceable only to the extent of the actual cost the employer incurred, apportioned for the service the employee did complete. A bond that fixes a round sum unrelated to any cost operates as a penalty and is not enforceable; a court will award only reasonable compensation for actual loss. Compute the recovery from the actual invoice, not from the bond amount.</w:t>
      </w:r>
    </w:p>
    <w:p>
      <w:pPr>
        <w:keepNext/>
        <w:spacing w:after="40" w:before="140"/>
      </w:pPr>
      <w:r>
        <w:rPr>
          <w:rFonts w:ascii="Calibri" w:cs="Calibri" w:eastAsia="Calibri" w:hAnsi="Calibri"/>
          <w:b/>
          <w:bCs/>
          <w:color w:val="14161B"/>
          <w:sz w:val="20"/>
          <w:szCs w:val="20"/>
        </w:rPr>
        <w:t xml:space="preserve">A full and final release cannot waive statutory entitlements</w:t>
      </w:r>
    </w:p>
    <w:p>
      <w:pPr>
        <w:spacing w:after="60" w:line="264"/>
        <w:jc w:val="both"/>
      </w:pPr>
      <w:r>
        <w:rPr>
          <w:rFonts w:ascii="Calibri" w:cs="Calibri" w:eastAsia="Calibri" w:hAnsi="Calibri"/>
          <w:sz w:val="19"/>
          <w:szCs w:val="19"/>
        </w:rPr>
        <w:t xml:space="preserve">Paragraph 5 of the acknowledgement is a contractual release. It does not, and cannot, waive statutory entitlements such as gratuity or provident fund. Where an employee signs a release under pressure at the moment of payment, its value is also reduced. Give the statement in advance, allow queries, and record any preserved claim expressly rather than leaving the paragraph absolute.</w:t>
      </w:r>
    </w:p>
    <w:p>
      <w:pPr>
        <w:keepNext/>
        <w:spacing w:after="40" w:before="140"/>
      </w:pPr>
      <w:r>
        <w:rPr>
          <w:rFonts w:ascii="Calibri" w:cs="Calibri" w:eastAsia="Calibri" w:hAnsi="Calibri"/>
          <w:b/>
          <w:bCs/>
          <w:color w:val="14161B"/>
          <w:sz w:val="20"/>
          <w:szCs w:val="20"/>
        </w:rPr>
        <w:t xml:space="preserve">Do not withhold the relieving letter</w:t>
      </w:r>
    </w:p>
    <w:p>
      <w:pPr>
        <w:spacing w:after="60" w:line="264"/>
        <w:jc w:val="both"/>
      </w:pPr>
      <w:r>
        <w:rPr>
          <w:rFonts w:ascii="Calibri" w:cs="Calibri" w:eastAsia="Calibri" w:hAnsi="Calibri"/>
          <w:sz w:val="19"/>
          <w:szCs w:val="19"/>
        </w:rPr>
        <w:t xml:space="preserve">Withholding a relieving letter or an experience certificate to force a settlement or to enforce a notice period is a common practice and a poor one. It causes real harm to the employee’s next employment, invites a claim, and does not improve the employer’s position on the money. Issue the relieving letter on the last working day and pursue any recovery separately.</w:t>
      </w:r>
    </w:p>
    <w:p>
      <w:pPr>
        <w:keepNext/>
        <w:spacing w:after="40" w:before="140"/>
      </w:pPr>
      <w:r>
        <w:rPr>
          <w:rFonts w:ascii="Calibri" w:cs="Calibri" w:eastAsia="Calibri" w:hAnsi="Calibri"/>
          <w:b/>
          <w:bCs/>
          <w:color w:val="14161B"/>
          <w:sz w:val="20"/>
          <w:szCs w:val="20"/>
        </w:rPr>
        <w:t xml:space="preserve">Revoke access on the last working day, not later</w:t>
      </w:r>
    </w:p>
    <w:p>
      <w:pPr>
        <w:spacing w:after="60" w:line="264"/>
        <w:jc w:val="both"/>
      </w:pPr>
      <w:r>
        <w:rPr>
          <w:rFonts w:ascii="Calibri" w:cs="Calibri" w:eastAsia="Calibri" w:hAnsi="Calibri"/>
          <w:sz w:val="19"/>
          <w:szCs w:val="19"/>
        </w:rPr>
        <w:t xml:space="preserve">Item 2 and item 12 of the clearance record are the security-critical ones. Email, cloud, code repositories, VPN, bank mandates, statutory portal credentials, digital signature certificates and any power of attorney all need revoking. A departed employee with subsisting signatory authority is a live exposure, and it is discovered in the worst way.</w:t>
      </w:r>
    </w:p>
    <w:p>
      <w:pPr>
        <w:keepNext/>
        <w:spacing w:after="40" w:before="140"/>
      </w:pPr>
      <w:r>
        <w:rPr>
          <w:rFonts w:ascii="Calibri" w:cs="Calibri" w:eastAsia="Calibri" w:hAnsi="Calibri"/>
          <w:b/>
          <w:bCs/>
          <w:color w:val="14161B"/>
          <w:sz w:val="20"/>
          <w:szCs w:val="20"/>
        </w:rPr>
        <w:t xml:space="preserve">Death in service</w:t>
      </w:r>
    </w:p>
    <w:p>
      <w:pPr>
        <w:spacing w:after="60" w:line="264"/>
        <w:jc w:val="both"/>
      </w:pPr>
      <w:r>
        <w:rPr>
          <w:rFonts w:ascii="Calibri" w:cs="Calibri" w:eastAsia="Calibri" w:hAnsi="Calibri"/>
          <w:sz w:val="19"/>
          <w:szCs w:val="19"/>
        </w:rPr>
        <w:t xml:space="preserve">Where the employment ends on death, the settlement is paid to the nominee on production of the prescribed documents, and gratuity is payable irrespective of the qualifying period of service. Handle it promptly and without requiring the family to chase; this is the situation in which delay causes the most harm and the most reputational damage.</w:t>
      </w:r>
    </w:p>
    <w:p>
      <w:pPr>
        <w:keepNext/>
        <w:spacing w:after="40" w:before="140"/>
      </w:pPr>
      <w:r>
        <w:rPr>
          <w:rFonts w:ascii="Calibri" w:cs="Calibri" w:eastAsia="Calibri" w:hAnsi="Calibri"/>
          <w:b/>
          <w:bCs/>
          <w:color w:val="14161B"/>
          <w:sz w:val="20"/>
          <w:szCs w:val="20"/>
        </w:rPr>
        <w:t xml:space="preserve">Keep the records</w:t>
      </w:r>
    </w:p>
    <w:p>
      <w:pPr>
        <w:spacing w:after="60" w:line="264"/>
        <w:jc w:val="both"/>
      </w:pPr>
      <w:r>
        <w:rPr>
          <w:rFonts w:ascii="Calibri" w:cs="Calibri" w:eastAsia="Calibri" w:hAnsi="Calibri"/>
          <w:sz w:val="19"/>
          <w:szCs w:val="19"/>
        </w:rPr>
        <w:t xml:space="preserve">The settlement statement, the clearance record, the acknowledgement and the proof of payment should be retained together for the statutory retention period. Where a claim is made years later, this file is the answer, and its absence is what turns a straightforward matter into a contested one.</w:t>
      </w:r>
    </w:p>
    <w:p>
      <w:pPr>
        <w:keepNext/>
        <w:spacing w:after="40" w:before="140"/>
      </w:pPr>
      <w:r>
        <w:rPr>
          <w:rFonts w:ascii="Calibri" w:cs="Calibri" w:eastAsia="Calibri" w:hAnsi="Calibri"/>
          <w:b/>
          <w:bCs/>
          <w:color w:val="14161B"/>
          <w:sz w:val="20"/>
          <w:szCs w:val="20"/>
        </w:rPr>
        <w:t xml:space="preserve">Verify your State’s position</w:t>
      </w:r>
    </w:p>
    <w:p>
      <w:pPr>
        <w:spacing w:after="60" w:line="264"/>
        <w:jc w:val="both"/>
      </w:pPr>
      <w:r>
        <w:rPr>
          <w:rFonts w:ascii="Calibri" w:cs="Calibri" w:eastAsia="Calibri" w:hAnsi="Calibri"/>
          <w:sz w:val="19"/>
          <w:szCs w:val="19"/>
        </w:rPr>
        <w:t xml:space="preserve">Leave encashment entitlements, notice requirements, retrenchment compensation and record-keeping obligations differ between States under the rules notified separately by each. Confirm the position for the State of the place of work before adopting this template across locations.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Wage definitions, settlement timelines, gratuity computation and permitted deductions all change — have this template and the computation logic reviewed by an employment adviser and a payroll specialist.</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2026-08-21T12:53:54.854Z</dcterms:created>
  <dcterms:modified xsi:type="dcterms:W3CDTF">2026-08-21T12:53:54.854Z</dcterms:modified>
</cp:coreProperties>
</file>

<file path=docProps/custom.xml><?xml version="1.0" encoding="utf-8"?>
<Properties xmlns="http://schemas.openxmlformats.org/officeDocument/2006/custom-properties" xmlns:vt="http://schemas.openxmlformats.org/officeDocument/2006/docPropsVTypes"/>
</file>