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EXECUTIVE EMPLOYMENT AGREEMENT</w:t>
      </w:r>
    </w:p>
    <w:p>
      <w:pPr>
        <w:spacing w:after="260"/>
        <w:jc w:val="center"/>
      </w:pPr>
      <w:r>
        <w:rPr>
          <w:rFonts w:ascii="Calibri" w:cs="Calibri" w:eastAsia="Calibri" w:hAnsi="Calibri"/>
          <w:i/>
          <w:iCs/>
          <w:color w:val="6E7480"/>
          <w:sz w:val="19"/>
          <w:szCs w:val="19"/>
        </w:rPr>
        <w:t xml:space="preserve">Between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[EXECUTIVE NAME]</w:t>
      </w:r>
    </w:p>
    <w:p>
      <w:pPr>
        <w:spacing w:after="180" w:before="0" w:line="276"/>
        <w:jc w:val="both"/>
      </w:pPr>
      <w:r>
        <w:rPr>
          <w:rFonts w:ascii="Calibri" w:cs="Calibri" w:eastAsia="Calibri" w:hAnsi="Calibri"/>
          <w:i/>
          <w:iCs/>
          <w:color w:val="6E7480"/>
          <w:sz w:val="21"/>
          <w:szCs w:val="21"/>
        </w:rPr>
        <w:t xml:space="preserve">Use this for senior hires where the terms go beyond a standard appointment letter — deferred compensation, severance, board duties, garden leave, or a bespoke exit. The statutory appointment-letter particulars must still be present, so this agreement carries them rather than sitting alongside a separate letter.</w:t>
      </w:r>
    </w:p>
    <w:p>
      <w:pPr>
        <w:spacing w:after="140" w:before="0" w:line="276"/>
        <w:jc w:val="both"/>
      </w:pPr>
      <w:r>
        <w:rPr>
          <w:rFonts w:ascii="Calibri" w:cs="Calibri" w:eastAsia="Calibri" w:hAnsi="Calibri"/>
          <w:b/>
          <w:bCs/>
          <w:sz w:val="21"/>
          <w:szCs w:val="21"/>
        </w:rPr>
        <w:t xml:space="preserve">THIS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[EXECUTIVE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w:t>
      </w:r>
      <w:r>
        <w:rPr>
          <w:rFonts w:ascii="Calibri" w:cs="Calibri" w:eastAsia="Calibri" w:hAnsi="Calibri"/>
          <w:b/>
          <w:bCs/>
          <w:sz w:val="21"/>
          <w:szCs w:val="21"/>
        </w:rPr>
        <w:t xml:space="preserve">[and DIN ______]</w:t>
      </w:r>
      <w:r>
        <w:rPr>
          <w:rFonts w:ascii="Calibri" w:cs="Calibri" w:eastAsia="Calibri" w:hAnsi="Calibri"/>
          <w:sz w:val="21"/>
          <w:szCs w:val="21"/>
        </w:rPr>
        <w:t xml:space="preserve"> (the "</w:t>
      </w:r>
      <w:r>
        <w:rPr>
          <w:rFonts w:ascii="Calibri" w:cs="Calibri" w:eastAsia="Calibri" w:hAnsi="Calibri"/>
          <w:b/>
          <w:bCs/>
          <w:sz w:val="21"/>
          <w:szCs w:val="21"/>
        </w:rPr>
        <w:t xml:space="preserve">Executive</w:t>
      </w:r>
      <w:r>
        <w:rPr>
          <w:rFonts w:ascii="Calibri" w:cs="Calibri" w:eastAsia="Calibri" w:hAnsi="Calibri"/>
          <w:sz w:val="21"/>
          <w:szCs w:val="21"/>
        </w:rPr>
        <w:t xml:space="preserve">").</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APPOINTMENT AND PARTICULARS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of Directors / NAME, 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commencement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Fixed term of ______ years]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hours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Such hours as are necessary for the proper performance of the role, and not less than </w:t>
            </w:r>
            <w:r>
              <w:rPr>
                <w:rFonts w:ascii="Calibri" w:cs="Calibri" w:eastAsia="Calibri" w:hAnsi="Calibri"/>
                <w:b/>
                <w:bCs/>
                <w:sz w:val="19"/>
                <w:szCs w:val="19"/>
              </w:rPr>
              <w:t xml:space="preserve">[HOURS]</w:t>
            </w:r>
            <w:r>
              <w:rPr>
                <w:rFonts w:ascii="Calibri" w:cs="Calibri" w:eastAsia="Calibri" w:hAnsi="Calibri"/>
                <w:sz w:val="19"/>
                <w:szCs w:val="19"/>
              </w:rPr>
              <w:t xml:space="preserve"> per week</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applicable / ______ months]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on either side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Retirement age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w:t>
            </w:r>
            <w:r>
              <w:rPr>
                <w:rFonts w:ascii="Calibri" w:cs="Calibri" w:eastAsia="Calibri" w:hAnsi="Calibri"/>
                <w:sz w:val="19"/>
                <w:szCs w:val="19"/>
              </w:rPr>
              <w:t xml:space="preserve"> years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position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Executive will be appointed to the Board as a ______ / Not applicable]</w:t>
            </w:r>
          </w:p>
        </w:tc>
      </w:tr>
    </w:tbl>
    <w:p>
      <w:pPr>
        <w:spacing w:after="16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appoints the Executive and the Executive accepts appointment on the terms of this Agreement, which contains the particulars required to be included in a letter of appointment under applicable law.</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Where the Executive is appointed to the Board, that appointment is separate from this employment. Ceasing to be a director does not of itself terminate this Agreement, and ceasing to be an employee obliges the Executive to resign from the Board and from every office held in the Company and its group, immediately and without claim for compensation for loss of office.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the appointment as a managerial person requires the approval of the members or of any authority, this Agreement is subject to that approval and to any limits on remuneration prescribed by law.</w:t>
      </w:r>
    </w:p>
    <w:p>
      <w:pPr>
        <w:keepNext/>
        <w:spacing w:after="120" w:before="280"/>
        <w:outlineLvl w:val="0"/>
      </w:pPr>
      <w:r>
        <w:rPr>
          <w:rFonts w:ascii="Calibri" w:cs="Calibri" w:eastAsia="Calibri" w:hAnsi="Calibri"/>
          <w:b/>
          <w:bCs/>
          <w:color w:val="14161B"/>
          <w:sz w:val="22"/>
          <w:szCs w:val="22"/>
        </w:rPr>
        <w:t xml:space="preserve">2. DUTIES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Executive shall perform the duties set out in Schedule 1 and such other duties consistent with the position as the Board may reasonably assign, shall use best endeavours to promote the interests of the Company, and shall comply with all lawful and reasonable directions of the Board.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Executive shall devote the whole of the Executive’s working time, attention and skill to the business of the Company and shall not, during the employment, be engaged or interested in any other business, employment, consultancy or directorship, whether or not for reward, without the prior written consent of the Board, save that the Executive may hold up to </w:t>
      </w:r>
      <w:r>
        <w:rPr>
          <w:rFonts w:ascii="Calibri" w:cs="Calibri" w:eastAsia="Calibri" w:hAnsi="Calibri"/>
          <w:b/>
          <w:bCs/>
          <w:sz w:val="21"/>
          <w:szCs w:val="21"/>
        </w:rPr>
        <w:t xml:space="preserve">[2]</w:t>
      </w:r>
      <w:r>
        <w:rPr>
          <w:rFonts w:ascii="Calibri" w:cs="Calibri" w:eastAsia="Calibri" w:hAnsi="Calibri"/>
          <w:sz w:val="21"/>
          <w:szCs w:val="21"/>
        </w:rPr>
        <w:t xml:space="preserve"> per cent of the securities of a listed company as a passive investment.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Executive shall disclose promptly and in writing any actual or potential conflict of interest, any interest in a transaction of the Company, and any offer of employment or engagement received from a competitor.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Executive shall comply with the Company’s policies as amended from time to time, including the code of conduct, the policy for the prevention of sexual harassment at the workplace, the anti-bribery policy, the insider dealing policy where applicable, the information security policy and the data protection policy.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Executive shall not, without the Board’s approval, commit the Company beyond the authority delegated to the Executive under the Company’s delegation of authority.</w:t>
      </w:r>
    </w:p>
    <w:p>
      <w:pPr>
        <w:keepNext/>
        <w:spacing w:after="120" w:before="280"/>
        <w:outlineLvl w:val="0"/>
      </w:pPr>
      <w:r>
        <w:rPr>
          <w:rFonts w:ascii="Calibri" w:cs="Calibri" w:eastAsia="Calibri" w:hAnsi="Calibri"/>
          <w:b/>
          <w:bCs/>
          <w:color w:val="14161B"/>
          <w:sz w:val="22"/>
          <w:szCs w:val="22"/>
        </w:rPr>
        <w:t xml:space="preserve">3. REMUNERATION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shall pay the Executive the remuneration set out in Schedule 2, comprising fixed pay, variable pay and benefits. Fixed pay shall be structured so that basic salary and dearness allowance together constitute not less than half of total remuneration, in line with the statutory definition of wages.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Fixed pay shall be paid monthly in arrears by credit to the Executive’s bank account, subject to statutory deductions and to tax deducted at source. A wage slip in the prescribed form shall be issued each month.</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Fixed pay shall be reviewed annually. A review does not oblige the Company to increase it.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Variable pay.</w:t>
      </w:r>
      <w:r>
        <w:rPr>
          <w:rFonts w:ascii="Calibri" w:cs="Calibri" w:eastAsia="Calibri" w:hAnsi="Calibri"/>
          <w:sz w:val="21"/>
          <w:szCs w:val="21"/>
        </w:rPr>
        <w:t xml:space="preserve"> The Executive shall be eligible for annual variable pay of up to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fixed pay, assessed against the objectives agreed with the Board for each performance year and determined by the Board acting reasonably. Variable pay for a part year shall be pro-rated. The Executive must be in employment and not under notice on the date of payment to be eligible, save where employment has ended by reason of death, permanent incapacity, or termination by the Company without Cause, in which case a pro-rated amount shall be paid.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Deferred compensation.</w:t>
      </w:r>
      <w:r>
        <w:rPr>
          <w:rFonts w:ascii="Calibri" w:cs="Calibri" w:eastAsia="Calibri" w:hAnsi="Calibri"/>
          <w:sz w:val="21"/>
          <w:szCs w:val="21"/>
        </w:rPr>
        <w:t xml:space="preserve"> </w:t>
      </w:r>
      <w:r>
        <w:rPr>
          <w:rFonts w:ascii="Calibri" w:cs="Calibri" w:eastAsia="Calibri" w:hAnsi="Calibri"/>
          <w:b/>
          <w:bCs/>
          <w:sz w:val="21"/>
          <w:szCs w:val="21"/>
        </w:rPr>
        <w:t xml:space="preserve">[Where any part of variable pay is deferred]</w:t>
      </w:r>
      <w:r>
        <w:rPr>
          <w:rFonts w:ascii="Calibri" w:cs="Calibri" w:eastAsia="Calibri" w:hAnsi="Calibri"/>
          <w:sz w:val="21"/>
          <w:szCs w:val="21"/>
        </w:rPr>
        <w:t xml:space="preserve">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variable pay for each performance year shall be deferred and shall vest in equal instalments over </w:t>
      </w:r>
      <w:r>
        <w:rPr>
          <w:rFonts w:ascii="Calibri" w:cs="Calibri" w:eastAsia="Calibri" w:hAnsi="Calibri"/>
          <w:b/>
          <w:bCs/>
          <w:sz w:val="21"/>
          <w:szCs w:val="21"/>
        </w:rPr>
        <w:t xml:space="preserve">[NUMBER]</w:t>
      </w:r>
      <w:r>
        <w:rPr>
          <w:rFonts w:ascii="Calibri" w:cs="Calibri" w:eastAsia="Calibri" w:hAnsi="Calibri"/>
          <w:sz w:val="21"/>
          <w:szCs w:val="21"/>
        </w:rPr>
        <w:t xml:space="preserve"> years, subject to the Executive being in employment on each vesting date and to Clause 3.6.</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Clawback.</w:t>
      </w:r>
      <w:r>
        <w:rPr>
          <w:rFonts w:ascii="Calibri" w:cs="Calibri" w:eastAsia="Calibri" w:hAnsi="Calibri"/>
          <w:sz w:val="21"/>
          <w:szCs w:val="21"/>
        </w:rPr>
        <w:t xml:space="preserve"> Where variable pay or deferred compensation has been paid or has vested on the basis of financial statements that are subsequently restated, or of performance that is subsequently found to have been misstated, or where the Executive is found to have engaged in fraud, wilful misconduct or a material breach of this Agreement, the Board may require repayment of the amount concerned and may cancel any unvested deferred compensation. The Executive shall repay within </w:t>
      </w:r>
      <w:r>
        <w:rPr>
          <w:rFonts w:ascii="Calibri" w:cs="Calibri" w:eastAsia="Calibri" w:hAnsi="Calibri"/>
          <w:b/>
          <w:bCs/>
          <w:sz w:val="21"/>
          <w:szCs w:val="21"/>
        </w:rPr>
        <w:t xml:space="preserve">[30]</w:t>
      </w:r>
      <w:r>
        <w:rPr>
          <w:rFonts w:ascii="Calibri" w:cs="Calibri" w:eastAsia="Calibri" w:hAnsi="Calibri"/>
          <w:sz w:val="21"/>
          <w:szCs w:val="21"/>
        </w:rPr>
        <w:t xml:space="preserve"> days of demand.</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Equity.</w:t>
      </w:r>
      <w:r>
        <w:rPr>
          <w:rFonts w:ascii="Calibri" w:cs="Calibri" w:eastAsia="Calibri" w:hAnsi="Calibri"/>
          <w:sz w:val="21"/>
          <w:szCs w:val="21"/>
        </w:rPr>
        <w:t xml:space="preserve"> </w:t>
      </w:r>
      <w:r>
        <w:rPr>
          <w:rFonts w:ascii="Calibri" w:cs="Calibri" w:eastAsia="Calibri" w:hAnsi="Calibri"/>
          <w:b/>
          <w:bCs/>
          <w:sz w:val="21"/>
          <w:szCs w:val="21"/>
        </w:rPr>
        <w:t xml:space="preserve">[The Executive will be granted ______ options under the Company’s employee stock option scheme, on the terms of that scheme and of the grant letter to be issued. Grant is subject to approval by the Board and, where required, by the members.]</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sz w:val="21"/>
          <w:szCs w:val="21"/>
        </w:rPr>
        <w:t xml:space="preserve">The Company shall reimburse expenses properly incurred in the performance of the Executive’s duties, on production of receipts and in accordance with the Company’s expense policy.</w:t>
      </w:r>
    </w:p>
    <w:p>
      <w:pPr>
        <w:keepNext/>
        <w:spacing w:after="120" w:before="280"/>
        <w:outlineLvl w:val="0"/>
      </w:pPr>
      <w:r>
        <w:rPr>
          <w:rFonts w:ascii="Calibri" w:cs="Calibri" w:eastAsia="Calibri" w:hAnsi="Calibri"/>
          <w:b/>
          <w:bCs/>
          <w:color w:val="14161B"/>
          <w:sz w:val="22"/>
          <w:szCs w:val="22"/>
        </w:rPr>
        <w:t xml:space="preserve">4. BENEFITS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Executive shall be entitled to the benefits set out in Schedule 2, and to the statutory benefits applicable, including provident fund and other social security contributions and gratuity in accordance with law.</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Executive shall be entitled to </w:t>
      </w:r>
      <w:r>
        <w:rPr>
          <w:rFonts w:ascii="Calibri" w:cs="Calibri" w:eastAsia="Calibri" w:hAnsi="Calibri"/>
          <w:b/>
          <w:bCs/>
          <w:sz w:val="21"/>
          <w:szCs w:val="21"/>
        </w:rPr>
        <w:t xml:space="preserve">[NUMBER]</w:t>
      </w:r>
      <w:r>
        <w:rPr>
          <w:rFonts w:ascii="Calibri" w:cs="Calibri" w:eastAsia="Calibri" w:hAnsi="Calibri"/>
          <w:sz w:val="21"/>
          <w:szCs w:val="21"/>
        </w:rPr>
        <w:t xml:space="preserve"> days of earned leave per year in addition to public holidays, accruing and carried forward in accordance with the Company’s policy and applicable law.</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shall maintain directors’ and officers’ liability insurance covering the Executive while in office and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afterwards, and shall indemnify the Executive against liability incurred in the proper performance of the Executive’s duties, to the fullest extent permitted by law, other than liability arising from the Executive’s own fraud, wilful default or gross negligence.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CONFIDENTIALITY AND INTELLECTUAL PROPERTY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Executive shall keep confidential all Confidential Information of the Company and its group, shall use it only for the purposes of the employment, and shall not disclose it to any person except as required for the Executive’s duties or by law. This obligation continues after the employment ends without limit of time.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all information relating to the business, finances, technology, products, customers, suppliers, employees, plans, pricing, source code and know-how of the Company and its group, in any form, other than information in the public domain otherwise than through breach of this Agreement.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All intellectual property created by the Executive, alone or with others, in the course of the employment or in connection with the business of the Company, vests in the Company. The Executive assigns to the Company all such rights, present and future, waives all moral rights in them to the extent permitted by law, and shall execute such further documents as the Company requires to perfect and register its title. The Executive irrevocably appoints the Company as attorney to execute such documents if the Executive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request.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Executive warrants that the Executive is not subject to any obligation to a former employer or other person that would prevent or restrict the performance of the Executive’s duties, and shall not use or bring into the Company any confidential information or material belonging to any former employer or third party.</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On termination, or earlier on request, the Executive shall return all property, records, documents, devices, credentials and information of the Company in the Executive’s possession or control, in any medium, and shall delete any copies held.</w:t>
      </w:r>
    </w:p>
    <w:p>
      <w:pPr>
        <w:keepNext/>
        <w:spacing w:after="120" w:before="280"/>
        <w:outlineLvl w:val="0"/>
      </w:pPr>
      <w:r>
        <w:rPr>
          <w:rFonts w:ascii="Calibri" w:cs="Calibri" w:eastAsia="Calibri" w:hAnsi="Calibri"/>
          <w:b/>
          <w:bCs/>
          <w:color w:val="14161B"/>
          <w:sz w:val="22"/>
          <w:szCs w:val="22"/>
        </w:rPr>
        <w:t xml:space="preserve">6. TERMINATION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Either party may terminate this Agreement by giving </w:t>
      </w:r>
      <w:r>
        <w:rPr>
          <w:rFonts w:ascii="Calibri" w:cs="Calibri" w:eastAsia="Calibri" w:hAnsi="Calibri"/>
          <w:b/>
          <w:bCs/>
          <w:sz w:val="21"/>
          <w:szCs w:val="21"/>
        </w:rPr>
        <w:t xml:space="preserve">[NUMBER]</w:t>
      </w:r>
      <w:r>
        <w:rPr>
          <w:rFonts w:ascii="Calibri" w:cs="Calibri" w:eastAsia="Calibri" w:hAnsi="Calibri"/>
          <w:sz w:val="21"/>
          <w:szCs w:val="21"/>
        </w:rPr>
        <w:t xml:space="preserve"> months’ written notice. The Company may, at its election, terminate with immediate effect and pay fixed pay in lieu of the unexpired notice period.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Termination for Cause.</w:t>
      </w:r>
      <w:r>
        <w:rPr>
          <w:rFonts w:ascii="Calibri" w:cs="Calibri" w:eastAsia="Calibri" w:hAnsi="Calibri"/>
          <w:sz w:val="21"/>
          <w:szCs w:val="21"/>
        </w:rPr>
        <w:t xml:space="preserve"> The Company may terminate the employment immediately, without notice or payment in lieu, where the Executive: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commits an act of fraud, dishonesty, misappropriation or wilful misconduct;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commits a material breach of this Agreement or of the Company’s policies and, where the breach is capable of remedy, fails to remedy it within </w:t>
      </w:r>
      <w:r>
        <w:rPr>
          <w:rFonts w:ascii="Calibri" w:cs="Calibri" w:eastAsia="Calibri" w:hAnsi="Calibri"/>
          <w:b/>
          <w:bCs/>
          <w:sz w:val="21"/>
          <w:szCs w:val="21"/>
        </w:rPr>
        <w:t xml:space="preserve">[15]</w:t>
      </w:r>
      <w:r>
        <w:rPr>
          <w:rFonts w:ascii="Calibri" w:cs="Calibri" w:eastAsia="Calibri" w:hAnsi="Calibri"/>
          <w:sz w:val="21"/>
          <w:szCs w:val="21"/>
        </w:rPr>
        <w:t xml:space="preserve"> days of written notice;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guilty of gross negligence or wilful insubordination;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is convicted of an offence involving moral turpitude, or is charged with an offence which in the reasonable opinion of the Board makes the Executive’s continued employment untenable;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is disqualified from acting as a director, where the role requires a directorship;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brings the Company into serious disrepute.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Before terminating under this Clause, the Company shall give the Executive written notice of the grounds and a reasonable opportunity to respond, and shall conduct such inquiry as the circumstances and applicable law require.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Severance.</w:t>
      </w:r>
      <w:r>
        <w:rPr>
          <w:rFonts w:ascii="Calibri" w:cs="Calibri" w:eastAsia="Calibri" w:hAnsi="Calibri"/>
          <w:sz w:val="21"/>
          <w:szCs w:val="21"/>
        </w:rPr>
        <w:t xml:space="preserve"> Where the Company terminates the employment otherwise than for Cause, and otherwise than by reason of death, permanent incapacity or retirement, the Company shall pay the Executive, in addition to accrued entitlements, a severance amount equal to </w:t>
      </w:r>
      <w:r>
        <w:rPr>
          <w:rFonts w:ascii="Calibri" w:cs="Calibri" w:eastAsia="Calibri" w:hAnsi="Calibri"/>
          <w:b/>
          <w:bCs/>
          <w:sz w:val="21"/>
          <w:szCs w:val="21"/>
        </w:rPr>
        <w:t xml:space="preserve">[NUMBER]</w:t>
      </w:r>
      <w:r>
        <w:rPr>
          <w:rFonts w:ascii="Calibri" w:cs="Calibri" w:eastAsia="Calibri" w:hAnsi="Calibri"/>
          <w:sz w:val="21"/>
          <w:szCs w:val="21"/>
        </w:rPr>
        <w:t xml:space="preserve"> months’ fixed pay, subject to the Executive executing and not revoking a deed of release in a form reasonably satisfactory to the Company. </w:t>
      </w:r>
      <w:r>
        <w:rPr>
          <w:rFonts w:ascii="Calibri" w:cs="Calibri" w:eastAsia="Calibri" w:hAnsi="Calibri"/>
          <w:i/>
          <w:iCs/>
          <w:sz w:val="21"/>
          <w:szCs w:val="21"/>
        </w:rPr>
        <w:t xml:space="preserve">(Severance is a commercial decision — specify the amount and whether it is conditional on a release.)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Good Reason.</w:t>
      </w:r>
      <w:r>
        <w:rPr>
          <w:rFonts w:ascii="Calibri" w:cs="Calibri" w:eastAsia="Calibri" w:hAnsi="Calibri"/>
          <w:sz w:val="21"/>
          <w:szCs w:val="21"/>
        </w:rPr>
        <w:t xml:space="preserve"> The Executive may terminate this Agreement with immediate effect, and shall be treated as having been terminated by the Company otherwise than for Cause, where the Company materially reduces the Executive’s role, responsibilities, reporting line or fixed pay, or requires the Executive to relocate by more than </w:t>
      </w:r>
      <w:r>
        <w:rPr>
          <w:rFonts w:ascii="Calibri" w:cs="Calibri" w:eastAsia="Calibri" w:hAnsi="Calibri"/>
          <w:b/>
          <w:bCs/>
          <w:sz w:val="21"/>
          <w:szCs w:val="21"/>
        </w:rPr>
        <w:t xml:space="preserve">[50]</w:t>
      </w:r>
      <w:r>
        <w:rPr>
          <w:rFonts w:ascii="Calibri" w:cs="Calibri" w:eastAsia="Calibri" w:hAnsi="Calibri"/>
          <w:sz w:val="21"/>
          <w:szCs w:val="21"/>
        </w:rPr>
        <w:t xml:space="preserve"> kilometres, in each case without the Executive’s consent and without remedying it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Garden leave.</w:t>
      </w:r>
      <w:r>
        <w:rPr>
          <w:rFonts w:ascii="Calibri" w:cs="Calibri" w:eastAsia="Calibri" w:hAnsi="Calibri"/>
          <w:sz w:val="21"/>
          <w:szCs w:val="21"/>
        </w:rPr>
        <w:t xml:space="preserve"> During any notice period, the Company may require the Executive not to attend the workplace, to cease performing duties, to have no contact with employees, customers or suppliers except as directed, and to resign from any office held. During garden leave the Executive remains an employee, continues to receive fixed pay and benefits, and remains bound by all obligations under this Agreement.</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b/>
          <w:bCs/>
          <w:sz w:val="21"/>
          <w:szCs w:val="21"/>
        </w:rPr>
        <w:t xml:space="preserve">Payment on termination.</w:t>
      </w:r>
      <w:r>
        <w:rPr>
          <w:rFonts w:ascii="Calibri" w:cs="Calibri" w:eastAsia="Calibri" w:hAnsi="Calibri"/>
          <w:sz w:val="21"/>
          <w:szCs w:val="21"/>
        </w:rPr>
        <w:t xml:space="preserve"> All wages and other amounts due to the Executive shall be paid within </w:t>
      </w:r>
      <w:r>
        <w:rPr>
          <w:rFonts w:ascii="Calibri" w:cs="Calibri" w:eastAsia="Calibri" w:hAnsi="Calibri"/>
          <w:b/>
          <w:bCs/>
          <w:sz w:val="21"/>
          <w:szCs w:val="21"/>
        </w:rPr>
        <w:t xml:space="preserve">two working days</w:t>
      </w:r>
      <w:r>
        <w:rPr>
          <w:rFonts w:ascii="Calibri" w:cs="Calibri" w:eastAsia="Calibri" w:hAnsi="Calibri"/>
          <w:sz w:val="21"/>
          <w:szCs w:val="21"/>
        </w:rPr>
        <w:t xml:space="preserve"> of the termination of employment, as required by law. Severance and any deferred amounts shall be paid in accordance with Clause 6.3 and Schedule 2.</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On termination the Executive shall resign from the Board and from every office held in the Company and its group, shall co-operate in the orderly handover of duties, and shall be issued a relieving letter and, on request, an experience certificate.</w:t>
      </w:r>
    </w:p>
    <w:p>
      <w:pPr>
        <w:keepNext/>
        <w:spacing w:after="120" w:before="280"/>
        <w:outlineLvl w:val="0"/>
      </w:pPr>
      <w:r>
        <w:rPr>
          <w:rFonts w:ascii="Calibri" w:cs="Calibri" w:eastAsia="Calibri" w:hAnsi="Calibri"/>
          <w:b/>
          <w:bCs/>
          <w:color w:val="14161B"/>
          <w:sz w:val="22"/>
          <w:szCs w:val="22"/>
        </w:rPr>
        <w:t xml:space="preserve">7. RESTRICTIONS AFTER EMPLOYMENT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the employment ends, the Executive shall not, directly or indirectly, solicit or entice away, or endeavour to do so, any person who was an employee, consultant, customer, client or supplier of the Company with whom the Executive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employment ended.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Executive shall not at any time make any statement, whether public or private, disparaging the Company, its directors, employees, customers or products, and the Company shall not authorise any such statement about the Executive.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Executive shall,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the employment ends, notify the Company before accepting any employment or engagement with a person carrying on a business competing with the Company, so that the Company may satisfy itself that its Confidential Information is protected. </w:t>
      </w:r>
      <w:r>
        <w:rPr>
          <w:rFonts w:ascii="Calibri" w:cs="Calibri" w:eastAsia="Calibri" w:hAnsi="Calibri"/>
          <w:i/>
          <w:iCs/>
          <w:sz w:val="21"/>
          <w:szCs w:val="21"/>
        </w:rPr>
        <w:t xml:space="preserve">(This is a notification obligation, not a restraint, and does not entitle the Company to withhold consent.)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i/>
          <w:iCs/>
          <w:sz w:val="21"/>
          <w:szCs w:val="21"/>
        </w:rPr>
        <w:t xml:space="preserve">No covenant restricting the Executive from working for a competitor after the employment ends is included. Section 27 of the Indian Contract Act, 1872 renders agreements in restraint of trade void, and such a covenant would not be enforced. The protections relied on are confidentiality, non-solicitation, garden leave, deferred compensation subject to forfeiture, and the clawback in Clause 3.6.</w:t>
      </w:r>
    </w:p>
    <w:p>
      <w:pPr>
        <w:keepNext/>
        <w:spacing w:after="120" w:before="280"/>
        <w:outlineLvl w:val="0"/>
      </w:pPr>
      <w:r>
        <w:rPr>
          <w:rFonts w:ascii="Calibri" w:cs="Calibri" w:eastAsia="Calibri" w:hAnsi="Calibri"/>
          <w:b/>
          <w:bCs/>
          <w:color w:val="14161B"/>
          <w:sz w:val="22"/>
          <w:szCs w:val="22"/>
        </w:rPr>
        <w:t xml:space="preserve">8. DATA PROTECTION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shall process the Executive’s personal data for the purposes of the employment as described in the employee privacy notice, and shall implement reasonable security safeguards.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Executive shall comply with the Company’s obligations in respect of personal data processed by the Company, including in relation to notice, security, retention and the handling of any personal data breach.</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together with the Schedules and the Company’s policies, constitutes the entire terms of the employment and supersedes the offer letter and any prior agreement, representation or understanding.</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b/>
          <w:bCs/>
          <w:sz w:val="21"/>
          <w:szCs w:val="21"/>
        </w:rPr>
        <w:t xml:space="preserve">Amendment.</w:t>
      </w:r>
      <w:r>
        <w:rPr>
          <w:rFonts w:ascii="Calibri" w:cs="Calibri" w:eastAsia="Calibri" w:hAnsi="Calibri"/>
          <w:sz w:val="21"/>
          <w:szCs w:val="21"/>
        </w:rPr>
        <w:t xml:space="preserve"> No amendment is effective unless in writing and signed by both parties, save that the Company may amend its policies from time to time.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Severability and enforceability.</w:t>
      </w:r>
      <w:r>
        <w:rPr>
          <w:rFonts w:ascii="Calibri" w:cs="Calibri" w:eastAsia="Calibri" w:hAnsi="Calibri"/>
          <w:sz w:val="21"/>
          <w:szCs w:val="21"/>
        </w:rPr>
        <w:t xml:space="preserve"> If any provision is held invalid or unenforceable, it shall be severed and the remaining provisions shall continue. Each restriction in Clause 7 is a separate and independent restriction.</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Specific performance.</w:t>
      </w:r>
      <w:r>
        <w:rPr>
          <w:rFonts w:ascii="Calibri" w:cs="Calibri" w:eastAsia="Calibri" w:hAnsi="Calibri"/>
          <w:sz w:val="21"/>
          <w:szCs w:val="21"/>
        </w:rPr>
        <w:t xml:space="preserve"> The parties acknowledge that damages may not be an adequate remedy for breach of Clauses 5 and 7, and that injunctive relief may be sought, including under the Specific Relief Act, 1963.</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to the addresses stated above, or to such other address as a party notifies.</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b/>
          <w:bCs/>
          <w:sz w:val="21"/>
          <w:szCs w:val="21"/>
        </w:rPr>
        <w:t xml:space="preserve">Governing law and disputes.</w:t>
      </w:r>
      <w:r>
        <w:rPr>
          <w:rFonts w:ascii="Calibri" w:cs="Calibri" w:eastAsia="Calibri" w:hAnsi="Calibri"/>
          <w:sz w:val="21"/>
          <w:szCs w:val="21"/>
        </w:rPr>
        <w:t xml:space="preserve"> This Agreement is governed by the laws of India. Any dispute shall be referred to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without prejudice to any remedy available to the Executive under labour legislation or to the jurisdiction of any court or tribunal conferred by that legislation.</w:t>
      </w:r>
    </w:p>
    <w:p>
      <w:pPr>
        <w:spacing w:after="120" w:before="60" w:line="276"/>
        <w:ind w:left="720" w:hanging="720"/>
        <w:jc w:val="both"/>
      </w:pPr>
      <w:r>
        <w:rPr>
          <w:rFonts w:ascii="Calibri" w:cs="Calibri" w:eastAsia="Calibri" w:hAnsi="Calibri"/>
          <w:sz w:val="21"/>
          <w:szCs w:val="21"/>
        </w:rPr>
        <w:t xml:space="preserve">9.7	</w:t>
      </w:r>
      <w:r>
        <w:rPr>
          <w:rFonts w:ascii="Calibri" w:cs="Calibri" w:eastAsia="Calibri" w:hAnsi="Calibri"/>
          <w:b/>
          <w:bCs/>
          <w:sz w:val="21"/>
          <w:szCs w:val="21"/>
        </w:rPr>
        <w:t xml:space="preserve">Counterparts.</w:t>
      </w:r>
      <w:r>
        <w:rPr>
          <w:rFonts w:ascii="Calibri" w:cs="Calibri" w:eastAsia="Calibri" w:hAnsi="Calibri"/>
          <w:sz w:val="21"/>
          <w:szCs w:val="21"/>
        </w:rPr>
        <w:t xml:space="preserve"> This Agreement may be executed in counterparts and by electronic signature.</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[EXECUTIVE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Role and Responsibilities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4433"/>
        <w:gridCol w:w="2892"/>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Area</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Measure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Strategy]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[HOW PERFORMANCE IS ASSESSED]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Financial]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[MEASURE]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People]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[MEASURE]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Governance and compliance]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[MEASURE]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Stakeholders]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[MEASURE]</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Remuneration and Benefits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1927"/>
        <w:gridCol w:w="1927"/>
        <w:gridCol w:w="2122"/>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annum (₹)</w:t>
            </w:r>
          </w:p>
        </w:tc>
        <w:tc>
          <w:tcPr>
            <w:tcW w:type="dxa" w:w="192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Forms part of wages</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Dearness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wages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p>
        </w:tc>
        <w:tc>
          <w:tcPr>
            <w:tcW w:type="dxa" w:w="2122"/>
            <w:tcMar>
              <w:top w:type="dxa" w:w="70"/>
              <w:left w:type="dxa" w:w="100"/>
              <w:bottom w:type="dxa" w:w="70"/>
              <w:right w:type="dxa" w:w="100"/>
            </w:tcMar>
            <w:vAlign w:val="center"/>
          </w:tcPr>
          <w:p>
            <w:pPr>
              <w:spacing w:after="0" w:line="240"/>
              <w:jc w:val="left"/>
            </w:pP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House rent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fixed pay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p>
        </w:tc>
        <w:tc>
          <w:tcPr>
            <w:tcW w:type="dxa" w:w="2122"/>
            <w:tcMar>
              <w:top w:type="dxa" w:w="70"/>
              <w:left w:type="dxa" w:w="100"/>
              <w:bottom w:type="dxa" w:w="70"/>
              <w:right w:type="dxa" w:w="100"/>
            </w:tcMar>
            <w:vAlign w:val="center"/>
          </w:tcPr>
          <w:p>
            <w:pPr>
              <w:spacing w:after="0" w:line="240"/>
              <w:jc w:val="left"/>
            </w:pP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Wages as a percentage of gross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927"/>
            <w:tcMar>
              <w:top w:type="dxa" w:w="70"/>
              <w:left w:type="dxa" w:w="100"/>
              <w:bottom w:type="dxa" w:w="70"/>
              <w:right w:type="dxa" w:w="100"/>
            </w:tcMar>
            <w:vAlign w:val="center"/>
          </w:tcPr>
          <w:p>
            <w:pPr>
              <w:spacing w:after="0" w:line="240"/>
              <w:jc w:val="center"/>
            </w:pP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Not less than 50 per cent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provident fund contribution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provision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qualifying</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and life insurance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[Car, driver or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pay at full achievement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 in ______]</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 which deferred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 </w:t>
            </w:r>
            <w:r>
              <w:rPr>
                <w:rFonts w:ascii="Calibri" w:cs="Calibri" w:eastAsia="Calibri" w:hAnsi="Calibri"/>
                <w:b/>
                <w:bCs/>
                <w:sz w:val="18"/>
                <w:szCs w:val="18"/>
              </w:rPr>
              <w:t xml:space="preserve">[NUMBER]</w:t>
            </w:r>
            <w:r>
              <w:rPr>
                <w:rFonts w:ascii="Calibri" w:cs="Calibri" w:eastAsia="Calibri" w:hAnsi="Calibri"/>
                <w:sz w:val="18"/>
                <w:szCs w:val="18"/>
              </w:rPr>
              <w:t xml:space="preserve"> years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center"/>
            </w:pPr>
          </w:p>
        </w:tc>
        <w:tc>
          <w:tcPr>
            <w:tcW w:type="dxa" w:w="2122"/>
            <w:tcMar>
              <w:top w:type="dxa" w:w="70"/>
              <w:left w:type="dxa" w:w="100"/>
              <w:bottom w:type="dxa" w:w="70"/>
              <w:right w:type="dxa" w:w="100"/>
            </w:tcMar>
            <w:vAlign w:val="center"/>
          </w:tcPr>
          <w:p>
            <w:pPr>
              <w:spacing w:after="0" w:line="240"/>
              <w:jc w:val="left"/>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Use this only where the terms genuinely differ</w:t>
      </w:r>
    </w:p>
    <w:p>
      <w:pPr>
        <w:spacing w:after="60" w:line="264"/>
        <w:jc w:val="both"/>
      </w:pPr>
      <w:r>
        <w:rPr>
          <w:rFonts w:ascii="Calibri" w:cs="Calibri" w:eastAsia="Calibri" w:hAnsi="Calibri"/>
          <w:sz w:val="19"/>
          <w:szCs w:val="19"/>
        </w:rPr>
        <w:t xml:space="preserve">For most employees the appointment letter is the right document and is what the statutory particulars requirement contemplates. Reserve this agreement for roles with deferred compensation, severance, clawback, board duties or a negotiated exit. Running two documents where one would do creates inconsistency between them.</w:t>
      </w:r>
    </w:p>
    <w:p>
      <w:pPr>
        <w:keepNext/>
        <w:spacing w:after="40" w:before="140"/>
      </w:pPr>
      <w:r>
        <w:rPr>
          <w:rFonts w:ascii="Calibri" w:cs="Calibri" w:eastAsia="Calibri" w:hAnsi="Calibri"/>
          <w:b/>
          <w:bCs/>
          <w:color w:val="14161B"/>
          <w:sz w:val="20"/>
          <w:szCs w:val="20"/>
        </w:rPr>
        <w:t xml:space="preserve">The statutory particulars still apply</w:t>
      </w:r>
    </w:p>
    <w:p>
      <w:pPr>
        <w:spacing w:after="60" w:line="264"/>
        <w:jc w:val="both"/>
      </w:pPr>
      <w:r>
        <w:rPr>
          <w:rFonts w:ascii="Calibri" w:cs="Calibri" w:eastAsia="Calibri" w:hAnsi="Calibri"/>
          <w:sz w:val="19"/>
          <w:szCs w:val="19"/>
        </w:rPr>
        <w:t xml:space="preserve">The requirement to issue an appointment letter with prescribed particulars applies to senior employees as much as to anyone else. Clause 1 and the Schedules carry those particulars so that this agreement satisfies the requirement on its own. Do not issue this agreement and then omit the appointment letter on the assumption that a contract is enough.</w:t>
      </w:r>
    </w:p>
    <w:p>
      <w:pPr>
        <w:keepNext/>
        <w:spacing w:after="40" w:before="140"/>
      </w:pPr>
      <w:r>
        <w:rPr>
          <w:rFonts w:ascii="Calibri" w:cs="Calibri" w:eastAsia="Calibri" w:hAnsi="Calibri"/>
          <w:b/>
          <w:bCs/>
          <w:color w:val="14161B"/>
          <w:sz w:val="20"/>
          <w:szCs w:val="20"/>
        </w:rPr>
        <w:t xml:space="preserve">Fifty per cent wages applies at every level</w:t>
      </w:r>
    </w:p>
    <w:p>
      <w:pPr>
        <w:spacing w:after="60" w:line="264"/>
        <w:jc w:val="both"/>
      </w:pPr>
      <w:r>
        <w:rPr>
          <w:rFonts w:ascii="Calibri" w:cs="Calibri" w:eastAsia="Calibri" w:hAnsi="Calibri"/>
          <w:sz w:val="19"/>
          <w:szCs w:val="19"/>
        </w:rPr>
        <w:t xml:space="preserve">Senior salary structures are the ones most often built around a small basic and a large allowance, because that historically minimised provident fund and gratuity. Under the consolidated definition, excluded components cannot exceed half of total remuneration, and the excess is added back. Schedule 2 carries a percentage line — complete it and check it.</w:t>
      </w:r>
    </w:p>
    <w:p>
      <w:pPr>
        <w:keepNext/>
        <w:spacing w:after="40" w:before="140"/>
      </w:pPr>
      <w:r>
        <w:rPr>
          <w:rFonts w:ascii="Calibri" w:cs="Calibri" w:eastAsia="Calibri" w:hAnsi="Calibri"/>
          <w:b/>
          <w:bCs/>
          <w:color w:val="14161B"/>
          <w:sz w:val="20"/>
          <w:szCs w:val="20"/>
        </w:rPr>
        <w:t xml:space="preserve">Managerial remuneration limits</w:t>
      </w:r>
    </w:p>
    <w:p>
      <w:pPr>
        <w:spacing w:after="60" w:line="264"/>
        <w:jc w:val="both"/>
      </w:pPr>
      <w:r>
        <w:rPr>
          <w:rFonts w:ascii="Calibri" w:cs="Calibri" w:eastAsia="Calibri" w:hAnsi="Calibri"/>
          <w:sz w:val="19"/>
          <w:szCs w:val="19"/>
        </w:rPr>
        <w:t xml:space="preserve">Where the Executive is appointed as a managing or whole-time director, the remuneration may be subject to statutory limits and may require approval of the members and, in some cases, of an authority. Clause 1.3 makes the appointment subject to that approval. Check the position before agreeing a package, not after.</w:t>
      </w:r>
    </w:p>
    <w:p>
      <w:pPr>
        <w:keepNext/>
        <w:spacing w:after="40" w:before="140"/>
      </w:pPr>
      <w:r>
        <w:rPr>
          <w:rFonts w:ascii="Calibri" w:cs="Calibri" w:eastAsia="Calibri" w:hAnsi="Calibri"/>
          <w:b/>
          <w:bCs/>
          <w:color w:val="14161B"/>
          <w:sz w:val="20"/>
          <w:szCs w:val="20"/>
        </w:rPr>
        <w:t xml:space="preserve">Separate the employment from the directorship</w:t>
      </w:r>
    </w:p>
    <w:p>
      <w:pPr>
        <w:spacing w:after="60" w:line="264"/>
        <w:jc w:val="both"/>
      </w:pPr>
      <w:r>
        <w:rPr>
          <w:rFonts w:ascii="Calibri" w:cs="Calibri" w:eastAsia="Calibri" w:hAnsi="Calibri"/>
          <w:sz w:val="19"/>
          <w:szCs w:val="19"/>
        </w:rPr>
        <w:t xml:space="preserve">Clause 1.2 keeps the two distinct and obliges the Executive to resign from the Board on ceasing employment. Without it, a company can find itself having dismissed an executive who remains on its board, which requires a separate and public removal process.</w:t>
      </w:r>
    </w:p>
    <w:p>
      <w:pPr>
        <w:keepNext/>
        <w:spacing w:after="40" w:before="140"/>
      </w:pPr>
      <w:r>
        <w:rPr>
          <w:rFonts w:ascii="Calibri" w:cs="Calibri" w:eastAsia="Calibri" w:hAnsi="Calibri"/>
          <w:b/>
          <w:bCs/>
          <w:color w:val="14161B"/>
          <w:sz w:val="20"/>
          <w:szCs w:val="20"/>
        </w:rPr>
        <w:t xml:space="preserve">Clawback is the enforceable substitute for a non-compete</w:t>
      </w:r>
    </w:p>
    <w:p>
      <w:pPr>
        <w:spacing w:after="60" w:line="264"/>
        <w:jc w:val="both"/>
      </w:pPr>
      <w:r>
        <w:rPr>
          <w:rFonts w:ascii="Calibri" w:cs="Calibri" w:eastAsia="Calibri" w:hAnsi="Calibri"/>
          <w:sz w:val="19"/>
          <w:szCs w:val="19"/>
        </w:rPr>
        <w:t xml:space="preserve">Because a post-employment non-compete will not be enforced, the practical levers are deferred compensation that can be forfeited, a clawback on misconduct or restatement, garden leave, and robust confidentiality. Clauses 3.5, 3.6 and 6.5 are drafted as a package and are considerably more effective than a restraint clause that a court will strike down.</w:t>
      </w:r>
    </w:p>
    <w:p>
      <w:pPr>
        <w:keepNext/>
        <w:spacing w:after="40" w:before="140"/>
      </w:pPr>
      <w:r>
        <w:rPr>
          <w:rFonts w:ascii="Calibri" w:cs="Calibri" w:eastAsia="Calibri" w:hAnsi="Calibri"/>
          <w:b/>
          <w:bCs/>
          <w:color w:val="14161B"/>
          <w:sz w:val="20"/>
          <w:szCs w:val="20"/>
        </w:rPr>
        <w:t xml:space="preserve">Good Reason protects both sides</w:t>
      </w:r>
    </w:p>
    <w:p>
      <w:pPr>
        <w:spacing w:after="60" w:line="264"/>
        <w:jc w:val="both"/>
      </w:pPr>
      <w:r>
        <w:rPr>
          <w:rFonts w:ascii="Calibri" w:cs="Calibri" w:eastAsia="Calibri" w:hAnsi="Calibri"/>
          <w:sz w:val="19"/>
          <w:szCs w:val="19"/>
        </w:rPr>
        <w:t xml:space="preserve">Clause 6.4 gives the Executive a right to leave and be treated as dismissed where the role is materially diminished. Executives ask for it; companies benefit from it too, because it defines what constitutes constructive dismissal instead of leaving it to be argued about, and it gives the Company a cure period.</w:t>
      </w:r>
    </w:p>
    <w:p>
      <w:pPr>
        <w:keepNext/>
        <w:spacing w:after="40" w:before="140"/>
      </w:pPr>
      <w:r>
        <w:rPr>
          <w:rFonts w:ascii="Calibri" w:cs="Calibri" w:eastAsia="Calibri" w:hAnsi="Calibri"/>
          <w:b/>
          <w:bCs/>
          <w:color w:val="14161B"/>
          <w:sz w:val="20"/>
          <w:szCs w:val="20"/>
        </w:rPr>
        <w:t xml:space="preserve">Severance conditional on a release</w:t>
      </w:r>
    </w:p>
    <w:p>
      <w:pPr>
        <w:spacing w:after="60" w:line="264"/>
        <w:jc w:val="both"/>
      </w:pPr>
      <w:r>
        <w:rPr>
          <w:rFonts w:ascii="Calibri" w:cs="Calibri" w:eastAsia="Calibri" w:hAnsi="Calibri"/>
          <w:sz w:val="19"/>
          <w:szCs w:val="19"/>
        </w:rPr>
        <w:t xml:space="preserve">Where severance is payable, making it conditional on a deed of release is standard and is what converts a payment into finality. The release should be a separate document, should list any preserved claims expressly, and should not purport to release statutory entitlements that cannot be waived.</w:t>
      </w:r>
    </w:p>
    <w:p>
      <w:pPr>
        <w:keepNext/>
        <w:spacing w:after="40" w:before="140"/>
      </w:pPr>
      <w:r>
        <w:rPr>
          <w:rFonts w:ascii="Calibri" w:cs="Calibri" w:eastAsia="Calibri" w:hAnsi="Calibri"/>
          <w:b/>
          <w:bCs/>
          <w:color w:val="14161B"/>
          <w:sz w:val="20"/>
          <w:szCs w:val="20"/>
        </w:rPr>
        <w:t xml:space="preserve">Two working days still applies</w:t>
      </w:r>
    </w:p>
    <w:p>
      <w:pPr>
        <w:spacing w:after="60" w:line="264"/>
        <w:jc w:val="both"/>
      </w:pPr>
      <w:r>
        <w:rPr>
          <w:rFonts w:ascii="Calibri" w:cs="Calibri" w:eastAsia="Calibri" w:hAnsi="Calibri"/>
          <w:sz w:val="19"/>
          <w:szCs w:val="19"/>
        </w:rPr>
        <w:t xml:space="preserve">Wages due on termination must be paid within two working days of the employment ending. Severance and deferred amounts may be paid on the contractual timetable, but accrued salary, leave encashment and reimbursements cannot wait for the release to be signed. Clause 6.6 separates the two.</w:t>
      </w:r>
    </w:p>
    <w:p>
      <w:pPr>
        <w:keepNext/>
        <w:spacing w:after="40" w:before="140"/>
      </w:pPr>
      <w:r>
        <w:rPr>
          <w:rFonts w:ascii="Calibri" w:cs="Calibri" w:eastAsia="Calibri" w:hAnsi="Calibri"/>
          <w:b/>
          <w:bCs/>
          <w:color w:val="14161B"/>
          <w:sz w:val="20"/>
          <w:szCs w:val="20"/>
        </w:rPr>
        <w:t xml:space="preserve">Inquiry before dismissal for Cause</w:t>
      </w:r>
    </w:p>
    <w:p>
      <w:pPr>
        <w:spacing w:after="60" w:line="264"/>
        <w:jc w:val="both"/>
      </w:pPr>
      <w:r>
        <w:rPr>
          <w:rFonts w:ascii="Calibri" w:cs="Calibri" w:eastAsia="Calibri" w:hAnsi="Calibri"/>
          <w:sz w:val="19"/>
          <w:szCs w:val="19"/>
        </w:rPr>
        <w:t xml:space="preserve">Even for a senior executive, terminating for misconduct without notice of the grounds and an opportunity to respond is vulnerable. Clause 6.2 requires both. Where standing orders apply to the establishment, the procedure in them governs.</w:t>
      </w:r>
    </w:p>
    <w:p>
      <w:pPr>
        <w:keepNext/>
        <w:spacing w:after="40" w:before="140"/>
      </w:pPr>
      <w:r>
        <w:rPr>
          <w:rFonts w:ascii="Calibri" w:cs="Calibri" w:eastAsia="Calibri" w:hAnsi="Calibri"/>
          <w:b/>
          <w:bCs/>
          <w:color w:val="14161B"/>
          <w:sz w:val="20"/>
          <w:szCs w:val="20"/>
        </w:rPr>
        <w:t xml:space="preserve">Insurance and indemnity survive departure</w:t>
      </w:r>
    </w:p>
    <w:p>
      <w:pPr>
        <w:spacing w:after="60" w:line="264"/>
        <w:jc w:val="both"/>
      </w:pPr>
      <w:r>
        <w:rPr>
          <w:rFonts w:ascii="Calibri" w:cs="Calibri" w:eastAsia="Calibri" w:hAnsi="Calibri"/>
          <w:sz w:val="19"/>
          <w:szCs w:val="19"/>
        </w:rPr>
        <w:t xml:space="preserve">An executive who has served on the board will want cover for claims made after leaving, since liability can arise years later. Clause 4.3 provides run-off cover for a stated period. Agree the period and confirm the policy actually provides it — many do not without an express endorsement.</w:t>
      </w:r>
    </w:p>
    <w:p>
      <w:pPr>
        <w:keepNext/>
        <w:spacing w:after="40" w:before="140"/>
      </w:pPr>
      <w:r>
        <w:rPr>
          <w:rFonts w:ascii="Calibri" w:cs="Calibri" w:eastAsia="Calibri" w:hAnsi="Calibri"/>
          <w:b/>
          <w:bCs/>
          <w:color w:val="14161B"/>
          <w:sz w:val="20"/>
          <w:szCs w:val="20"/>
        </w:rPr>
        <w:t xml:space="preserve">Arbitration does not oust labour forums</w:t>
      </w:r>
    </w:p>
    <w:p>
      <w:pPr>
        <w:spacing w:after="60" w:line="264"/>
        <w:jc w:val="both"/>
      </w:pPr>
      <w:r>
        <w:rPr>
          <w:rFonts w:ascii="Calibri" w:cs="Calibri" w:eastAsia="Calibri" w:hAnsi="Calibri"/>
          <w:sz w:val="19"/>
          <w:szCs w:val="19"/>
        </w:rPr>
        <w:t xml:space="preserve">Clause 9.6 preserves the Executive’s statutory remedies. An arbitration clause that purports to exclude the jurisdiction of labour authorities is ineffective for matters within their exclusive jurisdiction, and drafting as though it does creates a false expectation on both sides.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definitions, managerial remuneration limits, settlement timelines and State rules all change — have this agreement and the remuneration structure reviewed by an employment adviser and a company secretary before execution.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2026-08-21T12:53:54.823Z</dcterms:created>
  <dcterms:modified xsi:type="dcterms:W3CDTF">2026-08-21T12:53:54.823Z</dcterms:modified>
</cp:coreProperties>
</file>

<file path=docProps/custom.xml><?xml version="1.0" encoding="utf-8"?>
<Properties xmlns="http://schemas.openxmlformats.org/officeDocument/2006/custom-properties" xmlns:vt="http://schemas.openxmlformats.org/officeDocument/2006/docPropsVTypes"/>
</file>