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EMPLOYEE STOCK OPTION SCHEME</w:t>
      </w:r>
    </w:p>
    <w:p>
      <w:pPr>
        <w:spacing w:after="260"/>
        <w:jc w:val="center"/>
      </w:pPr>
      <w:r>
        <w:rPr>
          <w:rFonts w:ascii="Calibri" w:cs="Calibri" w:eastAsia="Calibri" w:hAnsi="Calibri"/>
          <w:b/>
          <w:bCs/>
          <w:i/>
          <w:iCs/>
          <w:color w:val="6E7480"/>
          <w:sz w:val="19"/>
          <w:szCs w:val="19"/>
        </w:rPr>
        <w:t xml:space="preserve">[COMPANY NAME]</w:t>
      </w:r>
      <w:r>
        <w:rPr>
          <w:rFonts w:ascii="Calibri" w:cs="Calibri" w:eastAsia="Calibri" w:hAnsi="Calibri"/>
          <w:i/>
          <w:iCs/>
          <w:color w:val="6E7480"/>
          <w:sz w:val="19"/>
          <w:szCs w:val="19"/>
        </w:rPr>
        <w:t xml:space="preserve"> Employee Stock Option Scheme </w:t>
      </w:r>
      <w:r>
        <w:rPr>
          <w:rFonts w:ascii="Calibri" w:cs="Calibri" w:eastAsia="Calibri" w:hAnsi="Calibri"/>
          <w:b/>
          <w:bCs/>
          <w:i/>
          <w:iCs/>
          <w:color w:val="6E7480"/>
          <w:sz w:val="19"/>
          <w:szCs w:val="19"/>
        </w:rPr>
        <w:t xml:space="preserve">[YEAR]</w:t>
      </w:r>
    </w:p>
    <w:p>
      <w:pPr>
        <w:spacing w:after="180" w:before="0" w:line="276"/>
        <w:jc w:val="both"/>
      </w:pPr>
      <w:r>
        <w:rPr>
          <w:rFonts w:ascii="Calibri" w:cs="Calibri" w:eastAsia="Calibri" w:hAnsi="Calibri"/>
          <w:i/>
          <w:iCs/>
          <w:color w:val="6E7480"/>
          <w:sz w:val="21"/>
          <w:szCs w:val="21"/>
        </w:rPr>
        <w:t xml:space="preserve">Adopt the scheme before granting anything. Options granted under a scheme that has not been approved by the members, or granted to a person outside the definition of employee, cannot be validated afterwards, and both defects are found in almost every first institutional diligence.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6940"/>
      </w:tblGrid>
      <w:tr>
        <w:trPr>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9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CIN </w:t>
            </w:r>
            <w:r>
              <w:rPr>
                <w:rFonts w:ascii="Calibri" w:cs="Calibri" w:eastAsia="Calibri" w:hAnsi="Calibri"/>
                <w:b/>
                <w:bCs/>
                <w:sz w:val="19"/>
                <w:szCs w:val="19"/>
              </w:rPr>
              <w:t xml:space="preserve">[CIN]</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Name of the scheme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b/>
                <w:bCs/>
                <w:sz w:val="19"/>
                <w:szCs w:val="19"/>
              </w:rPr>
              <w:t xml:space="preserve"> Employee Stock Option Scheme </w:t>
            </w:r>
            <w:r>
              <w:rPr>
                <w:rFonts w:ascii="Calibri" w:cs="Calibri" w:eastAsia="Calibri" w:hAnsi="Calibri"/>
                <w:b/>
                <w:bCs/>
                <w:sz w:val="19"/>
                <w:szCs w:val="19"/>
              </w:rPr>
              <w:t xml:space="preserve">[YEAR]</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Board approval</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Members’ approval</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by </w:t>
            </w:r>
            <w:r>
              <w:rPr>
                <w:rFonts w:ascii="Calibri" w:cs="Calibri" w:eastAsia="Calibri" w:hAnsi="Calibri"/>
                <w:b/>
                <w:bCs/>
                <w:sz w:val="19"/>
                <w:szCs w:val="19"/>
              </w:rPr>
              <w:t xml:space="preserve">[special resolution / ordinary resolution, relying on the relaxation available to private companies]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Effective date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options authorised</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being </w:t>
            </w:r>
            <w:r>
              <w:rPr>
                <w:rFonts w:ascii="Calibri" w:cs="Calibri" w:eastAsia="Calibri" w:hAnsi="Calibri"/>
                <w:b/>
                <w:bCs/>
                <w:sz w:val="19"/>
                <w:szCs w:val="19"/>
              </w:rPr>
              <w:t xml:space="preserve">[PERCENTAGE]</w:t>
            </w:r>
            <w:r>
              <w:rPr>
                <w:rFonts w:ascii="Calibri" w:cs="Calibri" w:eastAsia="Calibri" w:hAnsi="Calibri"/>
                <w:sz w:val="19"/>
                <w:szCs w:val="19"/>
              </w:rPr>
              <w:t xml:space="preserve"> per cent of the share capital on a fully diluted basis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Administered by</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Board </w:t>
            </w:r>
            <w:r>
              <w:rPr>
                <w:rFonts w:ascii="Calibri" w:cs="Calibri" w:eastAsia="Calibri" w:hAnsi="Calibri"/>
                <w:b/>
                <w:bCs/>
                <w:sz w:val="19"/>
                <w:szCs w:val="19"/>
              </w:rPr>
              <w:t xml:space="preserve">[, acting through the Compensation Committee]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Scheme version</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bl>
    <w:p>
      <w:pPr>
        <w:spacing w:after="200"/>
      </w:pPr>
    </w:p>
    <w:p>
      <w:pPr>
        <w:keepNext/>
        <w:spacing w:after="120" w:before="280"/>
        <w:outlineLvl w:val="0"/>
      </w:pPr>
      <w:r>
        <w:rPr>
          <w:rFonts w:ascii="Calibri" w:cs="Calibri" w:eastAsia="Calibri" w:hAnsi="Calibri"/>
          <w:b/>
          <w:bCs/>
          <w:color w:val="14161B"/>
          <w:sz w:val="22"/>
          <w:szCs w:val="22"/>
        </w:rPr>
        <w:t xml:space="preserve">1. PURPOSE AND DEFINITIONS</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purpose of this Scheme is to attract, retain, motivate and reward employees by giving them an opportunity to participate in the growth of the Company and to align their interests with those of its shareholders.</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In this Scheme:</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Board</w:t>
      </w:r>
      <w:r>
        <w:rPr>
          <w:rFonts w:ascii="Calibri" w:cs="Calibri" w:eastAsia="Calibri" w:hAnsi="Calibri"/>
          <w:sz w:val="21"/>
          <w:szCs w:val="21"/>
        </w:rPr>
        <w:t xml:space="preserve">" means the board of directors of the Company, and where a Compensation Committee has been constituted, includes that Committee acting within its delegated authority.</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Employee</w:t>
      </w:r>
      <w:r>
        <w:rPr>
          <w:rFonts w:ascii="Calibri" w:cs="Calibri" w:eastAsia="Calibri" w:hAnsi="Calibri"/>
          <w:sz w:val="21"/>
          <w:szCs w:val="21"/>
        </w:rPr>
        <w:t xml:space="preserve">" means (a) a permanent employee of the Company who has been working in India or outside India; (b) a director of the Company, whether a whole-time director or not, but excluding an independent director; and (c) an employee or a director as described in (a) or (b) of a subsidiary, in India or outside India, or of a holding company or an associate company of the Company; but does not include an employee who is a promoter or belongs to the promoter group, or a director who, directly or indirectly, holds more than the prescribed percentage of the outstanding equity shares of the Company, </w:t>
      </w:r>
      <w:r>
        <w:rPr>
          <w:rFonts w:ascii="Calibri" w:cs="Calibri" w:eastAsia="Calibri" w:hAnsi="Calibri"/>
          <w:b/>
          <w:bCs/>
          <w:sz w:val="21"/>
          <w:szCs w:val="21"/>
        </w:rPr>
        <w:t xml:space="preserve">[save that, the Company being a startup recognised by the Department for Promotion of Industry and Internal Trade, those exclusions do not apply for the period permitted from the date of its incorporation]</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Exercise</w:t>
      </w:r>
      <w:r>
        <w:rPr>
          <w:rFonts w:ascii="Calibri" w:cs="Calibri" w:eastAsia="Calibri" w:hAnsi="Calibri"/>
          <w:sz w:val="21"/>
          <w:szCs w:val="21"/>
        </w:rPr>
        <w:t xml:space="preserve">" means an Employee making an application to the Company for the issue of Shares against Options vested in that Employee, in accordance with Clause 6.</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Exercise Period</w:t>
      </w:r>
      <w:r>
        <w:rPr>
          <w:rFonts w:ascii="Calibri" w:cs="Calibri" w:eastAsia="Calibri" w:hAnsi="Calibri"/>
          <w:sz w:val="21"/>
          <w:szCs w:val="21"/>
        </w:rPr>
        <w:t xml:space="preserve">" means the period within which a Vested Option may be exercised, as set out in Clause 6.2 and in the Grant Letter.</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Exercise Price</w:t>
      </w:r>
      <w:r>
        <w:rPr>
          <w:rFonts w:ascii="Calibri" w:cs="Calibri" w:eastAsia="Calibri" w:hAnsi="Calibri"/>
          <w:sz w:val="21"/>
          <w:szCs w:val="21"/>
        </w:rPr>
        <w:t xml:space="preserve">" means the price payable by an Employee for exercising an Option, determined under Clause 5.</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Grant</w:t>
      </w:r>
      <w:r>
        <w:rPr>
          <w:rFonts w:ascii="Calibri" w:cs="Calibri" w:eastAsia="Calibri" w:hAnsi="Calibri"/>
          <w:sz w:val="21"/>
          <w:szCs w:val="21"/>
        </w:rPr>
        <w:t xml:space="preserve">" means the issue of Options to an Employee under this Scheme, and "</w:t>
      </w:r>
      <w:r>
        <w:rPr>
          <w:rFonts w:ascii="Calibri" w:cs="Calibri" w:eastAsia="Calibri" w:hAnsi="Calibri"/>
          <w:b/>
          <w:bCs/>
          <w:sz w:val="21"/>
          <w:szCs w:val="21"/>
        </w:rPr>
        <w:t xml:space="preserve">Grant Date</w:t>
      </w:r>
      <w:r>
        <w:rPr>
          <w:rFonts w:ascii="Calibri" w:cs="Calibri" w:eastAsia="Calibri" w:hAnsi="Calibri"/>
          <w:sz w:val="21"/>
          <w:szCs w:val="21"/>
        </w:rPr>
        <w:t xml:space="preserve">" and "</w:t>
      </w:r>
      <w:r>
        <w:rPr>
          <w:rFonts w:ascii="Calibri" w:cs="Calibri" w:eastAsia="Calibri" w:hAnsi="Calibri"/>
          <w:b/>
          <w:bCs/>
          <w:sz w:val="21"/>
          <w:szCs w:val="21"/>
        </w:rPr>
        <w:t xml:space="preserve">Grant Letter</w:t>
      </w:r>
      <w:r>
        <w:rPr>
          <w:rFonts w:ascii="Calibri" w:cs="Calibri" w:eastAsia="Calibri" w:hAnsi="Calibri"/>
          <w:sz w:val="21"/>
          <w:szCs w:val="21"/>
        </w:rPr>
        <w:t xml:space="preserve">" shall be construed accordingly.</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Option</w:t>
      </w:r>
      <w:r>
        <w:rPr>
          <w:rFonts w:ascii="Calibri" w:cs="Calibri" w:eastAsia="Calibri" w:hAnsi="Calibri"/>
          <w:sz w:val="21"/>
          <w:szCs w:val="21"/>
        </w:rPr>
        <w:t xml:space="preserve">" means an option granted under this Scheme, being the right but not the obligation to apply for Shares at the Exercise Price, in the manner and subject to the conditions set out in this Scheme and the Grant Letter.</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Shares</w:t>
      </w:r>
      <w:r>
        <w:rPr>
          <w:rFonts w:ascii="Calibri" w:cs="Calibri" w:eastAsia="Calibri" w:hAnsi="Calibri"/>
          <w:sz w:val="21"/>
          <w:szCs w:val="21"/>
        </w:rPr>
        <w:t xml:space="preserve">" means the equity shares of the Company of face value ₹ </w:t>
      </w:r>
      <w:r>
        <w:rPr>
          <w:rFonts w:ascii="Calibri" w:cs="Calibri" w:eastAsia="Calibri" w:hAnsi="Calibri"/>
          <w:b/>
          <w:bCs/>
          <w:sz w:val="21"/>
          <w:szCs w:val="21"/>
        </w:rPr>
        <w:t xml:space="preserve">[FACE VALUE]</w:t>
      </w:r>
      <w:r>
        <w:rPr>
          <w:rFonts w:ascii="Calibri" w:cs="Calibri" w:eastAsia="Calibri" w:hAnsi="Calibri"/>
          <w:sz w:val="21"/>
          <w:szCs w:val="21"/>
        </w:rPr>
        <w:t xml:space="preserve"> each.</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w:t>
      </w:r>
      <w:r>
        <w:rPr>
          <w:rFonts w:ascii="Calibri" w:cs="Calibri" w:eastAsia="Calibri" w:hAnsi="Calibri"/>
          <w:b/>
          <w:bCs/>
          <w:sz w:val="21"/>
          <w:szCs w:val="21"/>
        </w:rPr>
        <w:t xml:space="preserve">Vesting</w:t>
      </w:r>
      <w:r>
        <w:rPr>
          <w:rFonts w:ascii="Calibri" w:cs="Calibri" w:eastAsia="Calibri" w:hAnsi="Calibri"/>
          <w:sz w:val="21"/>
          <w:szCs w:val="21"/>
        </w:rPr>
        <w:t xml:space="preserve">" means the process by which an Employee becomes entitled to Exercise an Option, and "</w:t>
      </w:r>
      <w:r>
        <w:rPr>
          <w:rFonts w:ascii="Calibri" w:cs="Calibri" w:eastAsia="Calibri" w:hAnsi="Calibri"/>
          <w:b/>
          <w:bCs/>
          <w:sz w:val="21"/>
          <w:szCs w:val="21"/>
        </w:rPr>
        <w:t xml:space="preserve">Vested Option</w:t>
      </w:r>
      <w:r>
        <w:rPr>
          <w:rFonts w:ascii="Calibri" w:cs="Calibri" w:eastAsia="Calibri" w:hAnsi="Calibri"/>
          <w:sz w:val="21"/>
          <w:szCs w:val="21"/>
        </w:rPr>
        <w:t xml:space="preserve">" and "</w:t>
      </w:r>
      <w:r>
        <w:rPr>
          <w:rFonts w:ascii="Calibri" w:cs="Calibri" w:eastAsia="Calibri" w:hAnsi="Calibri"/>
          <w:b/>
          <w:bCs/>
          <w:sz w:val="21"/>
          <w:szCs w:val="21"/>
        </w:rPr>
        <w:t xml:space="preserve">Vesting Date</w:t>
      </w:r>
      <w:r>
        <w:rPr>
          <w:rFonts w:ascii="Calibri" w:cs="Calibri" w:eastAsia="Calibri" w:hAnsi="Calibri"/>
          <w:sz w:val="21"/>
          <w:szCs w:val="21"/>
        </w:rPr>
        <w:t xml:space="preserve">" shall be construed accordingly.</w:t>
      </w:r>
    </w:p>
    <w:p>
      <w:pPr>
        <w:keepNext/>
        <w:spacing w:after="120" w:before="280"/>
        <w:outlineLvl w:val="0"/>
      </w:pPr>
      <w:r>
        <w:rPr>
          <w:rFonts w:ascii="Calibri" w:cs="Calibri" w:eastAsia="Calibri" w:hAnsi="Calibri"/>
          <w:b/>
          <w:bCs/>
          <w:color w:val="14161B"/>
          <w:sz w:val="22"/>
          <w:szCs w:val="22"/>
        </w:rPr>
        <w:t xml:space="preserve">2. ADMINISTRATION</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This Scheme shall be administered by the Board, which shall have the authority to determine the Employees eligible for a Grant, the number of Options to be granted to each, the Exercise Price, the Vesting conditions and period, the Exercise Period, and the terms of each Grant Letter, in each case consistent with this Scheme.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Board may frame procedures, interpret this Scheme and the Grant Letters, and decide any question arising under them, and its decision shall be final and binding, save that no decision shall reduce an Employee’s accrued entitlement in respect of Vested Options without that Employee’s written consent.</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Board shall maintain the register of employee stock options in the form prescribed, recording every Grant, Vesting, Exercise, lapse and cancellation, and shall reconcile it to the Options authorised under Clause 3 not less than once in each quarter.</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Board shall not grant Options in excess of the number authorised under Clause 3. Options that lapse or are cancelled shall return to the pool and shall be available for further Grant.</w:t>
      </w:r>
    </w:p>
    <w:p>
      <w:pPr>
        <w:keepNext/>
        <w:spacing w:after="120" w:before="280"/>
        <w:outlineLvl w:val="0"/>
      </w:pPr>
      <w:r>
        <w:rPr>
          <w:rFonts w:ascii="Calibri" w:cs="Calibri" w:eastAsia="Calibri" w:hAnsi="Calibri"/>
          <w:b/>
          <w:bCs/>
          <w:color w:val="14161B"/>
          <w:sz w:val="22"/>
          <w:szCs w:val="22"/>
        </w:rPr>
        <w:t xml:space="preserve">3. OPTIONS AUTHORISED AND SHARES RESERVED</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total number of Options that may be outstanding at any time under this Scheme shall not exceed </w:t>
      </w:r>
      <w:r>
        <w:rPr>
          <w:rFonts w:ascii="Calibri" w:cs="Calibri" w:eastAsia="Calibri" w:hAnsi="Calibri"/>
          <w:b/>
          <w:bCs/>
          <w:sz w:val="21"/>
          <w:szCs w:val="21"/>
        </w:rPr>
        <w:t xml:space="preserve">[NUMBER]</w:t>
      </w:r>
      <w:r>
        <w:rPr>
          <w:rFonts w:ascii="Calibri" w:cs="Calibri" w:eastAsia="Calibri" w:hAnsi="Calibri"/>
          <w:sz w:val="21"/>
          <w:szCs w:val="21"/>
        </w:rPr>
        <w:t xml:space="preserve">, each Option entitling the holder to one Share, representing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the share capital of the Company on a fully diluted basis as at the Effective Date.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Company shall at all times keep available, within its authorised share capital, a sufficient number of unissued Shares to satisfy all outstanding Options.</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Any increase in the number of Options authorised shall require a fresh approval of the members and, where applicable, the consent required under any agreement with the Company’s investors.</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Where the number of Options granted to any single Employee in any one year is equal to or exceeds the prescribed percentage of the issued capital at the time of Grant, that Grant shall require a separate approval of the members by special resolution.</w:t>
      </w:r>
    </w:p>
    <w:p>
      <w:pPr>
        <w:keepNext/>
        <w:spacing w:after="120" w:before="280"/>
        <w:outlineLvl w:val="0"/>
      </w:pPr>
      <w:r>
        <w:rPr>
          <w:rFonts w:ascii="Calibri" w:cs="Calibri" w:eastAsia="Calibri" w:hAnsi="Calibri"/>
          <w:b/>
          <w:bCs/>
          <w:color w:val="14161B"/>
          <w:sz w:val="22"/>
          <w:szCs w:val="22"/>
        </w:rPr>
        <w:t xml:space="preserve">4. ELIGIBILITY AND GRANT</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Board shall determine which Employees are eligible for a Grant, having regard to their role, seniority, performance, and expected contribution. No Employee has a right to a Grant, and a Grant in one year creates no entitlement to a Grant in any subsequent year.</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Every Grant shall be made by a Grant Letter in the form approved by the Board, stating the number of Options granted, the Grant Date, the Exercise Price, the Vesting schedule and conditions, the Exercise Period, and the consequences of cessation of employment. The Grant shall take effect only on the Employee returning a signed acknowledgement of the Grant Letter within </w:t>
      </w:r>
      <w:r>
        <w:rPr>
          <w:rFonts w:ascii="Calibri" w:cs="Calibri" w:eastAsia="Calibri" w:hAnsi="Calibri"/>
          <w:b/>
          <w:bCs/>
          <w:sz w:val="21"/>
          <w:szCs w:val="21"/>
        </w:rPr>
        <w:t xml:space="preserve">[30]</w:t>
      </w:r>
      <w:r>
        <w:rPr>
          <w:rFonts w:ascii="Calibri" w:cs="Calibri" w:eastAsia="Calibri" w:hAnsi="Calibri"/>
          <w:sz w:val="21"/>
          <w:szCs w:val="21"/>
        </w:rPr>
        <w:t xml:space="preserve"> days.</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Options shall not be granted to a person who is not an Employee as defined. Where an Employee ceases to fall within that definition, no further Grant shall be made to that person, and Clause 7 shall apply to the Options already granted.</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Options carry no right to a dividend, no voting right, and no right to any benefit of a shareholder until Shares are allotted on Exercise.</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Options are personal to the Employee. They shall not be transferred, pledged, hypothecated, mortgaged, charged, assigned or otherwise alienated or encumbered, and shall not be available to the creditors of the Employee. Only the Employee may Exercise an Option, save as provided in Clause 7 in the case of death.</w:t>
      </w:r>
    </w:p>
    <w:p>
      <w:pPr>
        <w:keepNext/>
        <w:spacing w:after="120" w:before="280"/>
        <w:outlineLvl w:val="0"/>
      </w:pPr>
      <w:r>
        <w:rPr>
          <w:rFonts w:ascii="Calibri" w:cs="Calibri" w:eastAsia="Calibri" w:hAnsi="Calibri"/>
          <w:b/>
          <w:bCs/>
          <w:color w:val="14161B"/>
          <w:sz w:val="22"/>
          <w:szCs w:val="22"/>
        </w:rPr>
        <w:t xml:space="preserve">5. EXERCISE PRICE</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Exercise Price for each Grant shall be determined by the Board and stated in the Grant Letter. The Exercise Price shall not be less than the face value of a Share.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Board may set the Exercise Price at the face value, at the fair market value of a Share as at the Grant Date, or at any price between the two, or at a premium to fair market value. </w:t>
      </w:r>
      <w:r>
        <w:rPr>
          <w:rFonts w:ascii="Calibri" w:cs="Calibri" w:eastAsia="Calibri" w:hAnsi="Calibri"/>
          <w:i/>
          <w:iCs/>
          <w:sz w:val="21"/>
          <w:szCs w:val="21"/>
        </w:rPr>
        <w:t xml:space="preserve">(This is a commercial decision. A face-value exercise price maximises the Employee’s gain and maximises the perquisite charged to tax on Exercise; a fair-value exercise price does the opposite. Decide it deliberately and explain the consequence to the Employee.)</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Where the Exercise Price is set by reference to fair market value, that value shall be determined in the manner the Board considers appropriate, and where a valuation is required for tax or company law purposes, by a person qualified to give it.</w:t>
      </w:r>
    </w:p>
    <w:p>
      <w:pPr>
        <w:keepNext/>
        <w:spacing w:after="120" w:before="280"/>
        <w:outlineLvl w:val="0"/>
      </w:pPr>
      <w:r>
        <w:rPr>
          <w:rFonts w:ascii="Calibri" w:cs="Calibri" w:eastAsia="Calibri" w:hAnsi="Calibri"/>
          <w:b/>
          <w:bCs/>
          <w:color w:val="14161B"/>
          <w:sz w:val="22"/>
          <w:szCs w:val="22"/>
        </w:rPr>
        <w:t xml:space="preserve">6. VESTING AND EXERCISE</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b/>
          <w:bCs/>
          <w:sz w:val="21"/>
          <w:szCs w:val="21"/>
        </w:rPr>
        <w:t xml:space="preserve">Vesting.</w:t>
      </w:r>
      <w:r>
        <w:rPr>
          <w:rFonts w:ascii="Calibri" w:cs="Calibri" w:eastAsia="Calibri" w:hAnsi="Calibri"/>
          <w:sz w:val="21"/>
          <w:szCs w:val="21"/>
        </w:rPr>
        <w:t xml:space="preserve"> Options shall vest in accordance with the schedule set out in the Grant Letter, subject to the minimum period between Grant and Vesting prescribed by law, which shall not be less than one year. The standard Vesting schedule adopted by the Company is set out in Clause 6.6 and applies unless the Grant Letter provides otherwise.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b/>
          <w:bCs/>
          <w:sz w:val="21"/>
          <w:szCs w:val="21"/>
        </w:rPr>
        <w:t xml:space="preserve">Exercise Period.</w:t>
      </w:r>
      <w:r>
        <w:rPr>
          <w:rFonts w:ascii="Calibri" w:cs="Calibri" w:eastAsia="Calibri" w:hAnsi="Calibri"/>
          <w:sz w:val="21"/>
          <w:szCs w:val="21"/>
        </w:rPr>
        <w:t xml:space="preserve"> Vested Options may be Exercised at any time within </w:t>
      </w:r>
      <w:r>
        <w:rPr>
          <w:rFonts w:ascii="Calibri" w:cs="Calibri" w:eastAsia="Calibri" w:hAnsi="Calibri"/>
          <w:b/>
          <w:bCs/>
          <w:sz w:val="21"/>
          <w:szCs w:val="21"/>
        </w:rPr>
        <w:t xml:space="preserve">[NUMBER]</w:t>
      </w:r>
      <w:r>
        <w:rPr>
          <w:rFonts w:ascii="Calibri" w:cs="Calibri" w:eastAsia="Calibri" w:hAnsi="Calibri"/>
          <w:sz w:val="21"/>
          <w:szCs w:val="21"/>
        </w:rPr>
        <w:t xml:space="preserve"> years from the relevant Vesting Date, or such other period as the Grant Letter specifies, and shall lapse at the end of that period if not Exercised. Where the Company undertakes a liquidity event, the Board may specify a shorter window and shall give the Employee reasonable notice of it.</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b/>
          <w:bCs/>
          <w:sz w:val="21"/>
          <w:szCs w:val="21"/>
        </w:rPr>
        <w:t xml:space="preserve">Manner of Exercise.</w:t>
      </w:r>
      <w:r>
        <w:rPr>
          <w:rFonts w:ascii="Calibri" w:cs="Calibri" w:eastAsia="Calibri" w:hAnsi="Calibri"/>
          <w:sz w:val="21"/>
          <w:szCs w:val="21"/>
        </w:rPr>
        <w:t xml:space="preserve"> An Employee shall Exercise by delivering to the Company a written exercise notice in the form prescribed by the Board, specifying the number of Vested Options being Exercised, together with payment of the aggregate Exercise Price and of any amount required to be withheld under Clause 9.</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b/>
          <w:bCs/>
          <w:sz w:val="21"/>
          <w:szCs w:val="21"/>
        </w:rPr>
        <w:t xml:space="preserve">Allotment.</w:t>
      </w:r>
      <w:r>
        <w:rPr>
          <w:rFonts w:ascii="Calibri" w:cs="Calibri" w:eastAsia="Calibri" w:hAnsi="Calibri"/>
          <w:sz w:val="21"/>
          <w:szCs w:val="21"/>
        </w:rPr>
        <w:t xml:space="preserve"> On receipt of a valid exercise notice and the full amount payable, the Board shall allot the corresponding Shares within </w:t>
      </w:r>
      <w:r>
        <w:rPr>
          <w:rFonts w:ascii="Calibri" w:cs="Calibri" w:eastAsia="Calibri" w:hAnsi="Calibri"/>
          <w:b/>
          <w:bCs/>
          <w:sz w:val="21"/>
          <w:szCs w:val="21"/>
        </w:rPr>
        <w:t xml:space="preserve">[30]</w:t>
      </w:r>
      <w:r>
        <w:rPr>
          <w:rFonts w:ascii="Calibri" w:cs="Calibri" w:eastAsia="Calibri" w:hAnsi="Calibri"/>
          <w:sz w:val="21"/>
          <w:szCs w:val="21"/>
        </w:rPr>
        <w:t xml:space="preserve"> days, enter the Employee in the register of members, issue the share certificates duly stamped or credit the Shares in dematerialised form, make the filings required, and update the register of options.</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b/>
          <w:bCs/>
          <w:sz w:val="21"/>
          <w:szCs w:val="21"/>
        </w:rPr>
        <w:t xml:space="preserve">Partial exercise and fractions.</w:t>
      </w:r>
      <w:r>
        <w:rPr>
          <w:rFonts w:ascii="Calibri" w:cs="Calibri" w:eastAsia="Calibri" w:hAnsi="Calibri"/>
          <w:sz w:val="21"/>
          <w:szCs w:val="21"/>
        </w:rPr>
        <w:t xml:space="preserve"> An Employee may Exercise Vested Options in part, subject to a minimum of </w:t>
      </w:r>
      <w:r>
        <w:rPr>
          <w:rFonts w:ascii="Calibri" w:cs="Calibri" w:eastAsia="Calibri" w:hAnsi="Calibri"/>
          <w:b/>
          <w:bCs/>
          <w:sz w:val="21"/>
          <w:szCs w:val="21"/>
        </w:rPr>
        <w:t xml:space="preserve">[NUMBER]</w:t>
      </w:r>
      <w:r>
        <w:rPr>
          <w:rFonts w:ascii="Calibri" w:cs="Calibri" w:eastAsia="Calibri" w:hAnsi="Calibri"/>
          <w:sz w:val="21"/>
          <w:szCs w:val="21"/>
        </w:rPr>
        <w:t xml:space="preserve"> Options per Exercise. No fractional Share shall be issued.</w:t>
      </w:r>
    </w:p>
    <w:p>
      <w:pPr>
        <w:spacing w:after="120" w:before="60" w:line="276"/>
        <w:ind w:left="720" w:hanging="720"/>
        <w:jc w:val="both"/>
      </w:pPr>
      <w:r>
        <w:rPr>
          <w:rFonts w:ascii="Calibri" w:cs="Calibri" w:eastAsia="Calibri" w:hAnsi="Calibri"/>
          <w:sz w:val="21"/>
          <w:szCs w:val="21"/>
        </w:rPr>
        <w:t xml:space="preserve">6.6	</w:t>
      </w:r>
      <w:r>
        <w:rPr>
          <w:rFonts w:ascii="Calibri" w:cs="Calibri" w:eastAsia="Calibri" w:hAnsi="Calibri"/>
          <w:b/>
          <w:bCs/>
          <w:sz w:val="21"/>
          <w:szCs w:val="21"/>
        </w:rPr>
        <w:t xml:space="preserve">Standard vesting schedule.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240"/>
        <w:gridCol w:w="2891"/>
        <w:gridCol w:w="2507"/>
      </w:tblGrid>
      <w:tr>
        <w:trPr>
          <w:tblHeader/>
        </w:trPr>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Anniversary of the Vesting Commencement Date</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Proportion of the Grant vesting</w:t>
            </w:r>
          </w:p>
        </w:tc>
        <w:tc>
          <w:tcPr>
            <w:tcW w:type="dxa" w:w="25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Cumulative vested</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First anniversary (the cliff)</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[25]</w:t>
            </w:r>
            <w:r>
              <w:rPr>
                <w:rFonts w:ascii="Calibri" w:cs="Calibri" w:eastAsia="Calibri" w:hAnsi="Calibri"/>
                <w:sz w:val="19"/>
                <w:szCs w:val="19"/>
              </w:rPr>
              <w:t xml:space="preserve"> per cent</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[25]</w:t>
            </w:r>
            <w:r>
              <w:rPr>
                <w:rFonts w:ascii="Calibri" w:cs="Calibri" w:eastAsia="Calibri" w:hAnsi="Calibri"/>
                <w:sz w:val="19"/>
                <w:szCs w:val="19"/>
              </w:rPr>
              <w:t xml:space="preserve"> per cent</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Monthly thereafter, over </w:t>
            </w:r>
            <w:r>
              <w:rPr>
                <w:rFonts w:ascii="Calibri" w:cs="Calibri" w:eastAsia="Calibri" w:hAnsi="Calibri"/>
                <w:b/>
                <w:bCs/>
                <w:sz w:val="19"/>
                <w:szCs w:val="19"/>
              </w:rPr>
              <w:t xml:space="preserve">[36]</w:t>
            </w:r>
            <w:r>
              <w:rPr>
                <w:rFonts w:ascii="Calibri" w:cs="Calibri" w:eastAsia="Calibri" w:hAnsi="Calibri"/>
                <w:sz w:val="19"/>
                <w:szCs w:val="19"/>
              </w:rPr>
              <w:t xml:space="preserve"> months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[1/48]</w:t>
            </w:r>
            <w:r>
              <w:rPr>
                <w:rFonts w:ascii="Calibri" w:cs="Calibri" w:eastAsia="Calibri" w:hAnsi="Calibri"/>
                <w:sz w:val="19"/>
                <w:szCs w:val="19"/>
              </w:rPr>
              <w:t xml:space="preserve"> per Grant per month</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Increasing to 100 per cent</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Fourth anniversary</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100 per cent</w:t>
            </w:r>
          </w:p>
        </w:tc>
      </w:tr>
    </w:tbl>
    <w:p>
      <w:pPr>
        <w:spacing w:after="120"/>
      </w:pPr>
    </w:p>
    <w:p>
      <w:pPr>
        <w:spacing w:after="120" w:before="60" w:line="276"/>
        <w:ind w:left="720" w:hanging="720"/>
        <w:jc w:val="both"/>
      </w:pPr>
      <w:r>
        <w:rPr>
          <w:rFonts w:ascii="Calibri" w:cs="Calibri" w:eastAsia="Calibri" w:hAnsi="Calibri"/>
          <w:sz w:val="21"/>
          <w:szCs w:val="21"/>
        </w:rPr>
        <w:t xml:space="preserve">6.7	</w:t>
      </w:r>
      <w:r>
        <w:rPr>
          <w:rFonts w:ascii="Calibri" w:cs="Calibri" w:eastAsia="Calibri" w:hAnsi="Calibri"/>
          <w:b/>
          <w:bCs/>
          <w:sz w:val="21"/>
          <w:szCs w:val="21"/>
        </w:rPr>
        <w:t xml:space="preserve">Performance conditions.</w:t>
      </w:r>
      <w:r>
        <w:rPr>
          <w:rFonts w:ascii="Calibri" w:cs="Calibri" w:eastAsia="Calibri" w:hAnsi="Calibri"/>
          <w:sz w:val="21"/>
          <w:szCs w:val="21"/>
        </w:rPr>
        <w:t xml:space="preserve"> Where a Grant is subject to performance conditions in addition to continued employment, those conditions shall be stated in the Grant Letter in objective and measurable terms, and the Board shall determine whether they have been satisfied and shall notify the Employee.</w:t>
      </w:r>
    </w:p>
    <w:p>
      <w:pPr>
        <w:spacing w:after="120" w:before="60" w:line="276"/>
        <w:ind w:left="720" w:hanging="720"/>
        <w:jc w:val="both"/>
      </w:pPr>
      <w:r>
        <w:rPr>
          <w:rFonts w:ascii="Calibri" w:cs="Calibri" w:eastAsia="Calibri" w:hAnsi="Calibri"/>
          <w:sz w:val="21"/>
          <w:szCs w:val="21"/>
        </w:rPr>
        <w:t xml:space="preserve">6.8	</w:t>
      </w:r>
      <w:r>
        <w:rPr>
          <w:rFonts w:ascii="Calibri" w:cs="Calibri" w:eastAsia="Calibri" w:hAnsi="Calibri"/>
          <w:b/>
          <w:bCs/>
          <w:sz w:val="21"/>
          <w:szCs w:val="21"/>
        </w:rPr>
        <w:t xml:space="preserve">Suspension of vesting.</w:t>
      </w:r>
      <w:r>
        <w:rPr>
          <w:rFonts w:ascii="Calibri" w:cs="Calibri" w:eastAsia="Calibri" w:hAnsi="Calibri"/>
          <w:sz w:val="21"/>
          <w:szCs w:val="21"/>
        </w:rPr>
        <w:t xml:space="preserve"> Vesting shall be suspended during any period of unpaid leave or absence exceeding </w:t>
      </w:r>
      <w:r>
        <w:rPr>
          <w:rFonts w:ascii="Calibri" w:cs="Calibri" w:eastAsia="Calibri" w:hAnsi="Calibri"/>
          <w:b/>
          <w:bCs/>
          <w:sz w:val="21"/>
          <w:szCs w:val="21"/>
        </w:rPr>
        <w:t xml:space="preserve">[8]</w:t>
      </w:r>
      <w:r>
        <w:rPr>
          <w:rFonts w:ascii="Calibri" w:cs="Calibri" w:eastAsia="Calibri" w:hAnsi="Calibri"/>
          <w:sz w:val="21"/>
          <w:szCs w:val="21"/>
        </w:rPr>
        <w:t xml:space="preserve"> consecutive weeks, other than statutory maternity or paternity leave or leave on account of illness or injury, and shall resume on the Employee returning to service, with the Vesting Dates deferred by the period of suspension.</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7. CESSATION OF EMPLOYMENT</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On an Employee ceasing to be an Employee, the following shall apply, unless the Board determines otherwise in a particular case and records its reasons: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2891"/>
        <w:gridCol w:w="3471"/>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Circumstance of cessation</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Unvested Options</w:t>
            </w:r>
          </w:p>
        </w:tc>
        <w:tc>
          <w:tcPr>
            <w:tcW w:type="dxa" w:w="34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Vested Options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Resignation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Lapse on the last working day</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Exercisable within </w:t>
            </w:r>
            <w:r>
              <w:rPr>
                <w:rFonts w:ascii="Calibri" w:cs="Calibri" w:eastAsia="Calibri" w:hAnsi="Calibri"/>
                <w:b/>
                <w:bCs/>
                <w:sz w:val="18"/>
                <w:szCs w:val="18"/>
              </w:rPr>
              <w:t xml:space="preserve">[NUMBER]</w:t>
            </w:r>
            <w:r>
              <w:rPr>
                <w:rFonts w:ascii="Calibri" w:cs="Calibri" w:eastAsia="Calibri" w:hAnsi="Calibri"/>
                <w:sz w:val="18"/>
                <w:szCs w:val="18"/>
              </w:rPr>
              <w:t xml:space="preserve"> days of the last working day, failing which they lapse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Termination by the Company without cause, or redundancy</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Lapse on the last working day </w:t>
            </w:r>
            <w:r>
              <w:rPr>
                <w:rFonts w:ascii="Calibri" w:cs="Calibri" w:eastAsia="Calibri" w:hAnsi="Calibri"/>
                <w:b/>
                <w:bCs/>
                <w:sz w:val="18"/>
                <w:szCs w:val="18"/>
              </w:rPr>
              <w:t xml:space="preserve">[, save that the Board may accelerate Vesting]</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Exercisable within </w:t>
            </w:r>
            <w:r>
              <w:rPr>
                <w:rFonts w:ascii="Calibri" w:cs="Calibri" w:eastAsia="Calibri" w:hAnsi="Calibri"/>
                <w:b/>
                <w:bCs/>
                <w:sz w:val="18"/>
                <w:szCs w:val="18"/>
              </w:rPr>
              <w:t xml:space="preserve">[NUMBER]</w:t>
            </w:r>
            <w:r>
              <w:rPr>
                <w:rFonts w:ascii="Calibri" w:cs="Calibri" w:eastAsia="Calibri" w:hAnsi="Calibri"/>
                <w:sz w:val="18"/>
                <w:szCs w:val="18"/>
              </w:rPr>
              <w:t xml:space="preserve"> days of the last working day</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Termination for cause, including fraud, dishonesty, wilful misconduct or material breach</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All Options lapse immediately</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All Options lapse immediately</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Retirement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[Continue to vest / Lapse]</w:t>
            </w:r>
            <w:r>
              <w:rPr>
                <w:rFonts w:ascii="Calibri" w:cs="Calibri" w:eastAsia="Calibri" w:hAnsi="Calibri"/>
                <w:sz w:val="18"/>
                <w:szCs w:val="18"/>
              </w:rPr>
              <w:t xml:space="preserve"> — as the Board determines</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Exercisable within </w:t>
            </w:r>
            <w:r>
              <w:rPr>
                <w:rFonts w:ascii="Calibri" w:cs="Calibri" w:eastAsia="Calibri" w:hAnsi="Calibri"/>
                <w:b/>
                <w:bCs/>
                <w:sz w:val="18"/>
                <w:szCs w:val="18"/>
              </w:rPr>
              <w:t xml:space="preserve">[NUMBER]</w:t>
            </w:r>
            <w:r>
              <w:rPr>
                <w:rFonts w:ascii="Calibri" w:cs="Calibri" w:eastAsia="Calibri" w:hAnsi="Calibri"/>
                <w:sz w:val="18"/>
                <w:szCs w:val="18"/>
              </w:rPr>
              <w:t xml:space="preserve"> months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Death</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Vest immediately in full</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Exercisable by the legal heirs or nominee within </w:t>
            </w:r>
            <w:r>
              <w:rPr>
                <w:rFonts w:ascii="Calibri" w:cs="Calibri" w:eastAsia="Calibri" w:hAnsi="Calibri"/>
                <w:b/>
                <w:bCs/>
                <w:sz w:val="18"/>
                <w:szCs w:val="18"/>
              </w:rPr>
              <w:t xml:space="preserve">[NUMBER]</w:t>
            </w:r>
            <w:r>
              <w:rPr>
                <w:rFonts w:ascii="Calibri" w:cs="Calibri" w:eastAsia="Calibri" w:hAnsi="Calibri"/>
                <w:sz w:val="18"/>
                <w:szCs w:val="18"/>
              </w:rPr>
              <w:t xml:space="preserve"> months of the date of death</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 incapacity</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Vest immediately in full</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Exercisable within </w:t>
            </w:r>
            <w:r>
              <w:rPr>
                <w:rFonts w:ascii="Calibri" w:cs="Calibri" w:eastAsia="Calibri" w:hAnsi="Calibri"/>
                <w:b/>
                <w:bCs/>
                <w:sz w:val="18"/>
                <w:szCs w:val="18"/>
              </w:rPr>
              <w:t xml:space="preserve">[NUMBER]</w:t>
            </w:r>
            <w:r>
              <w:rPr>
                <w:rFonts w:ascii="Calibri" w:cs="Calibri" w:eastAsia="Calibri" w:hAnsi="Calibri"/>
                <w:sz w:val="18"/>
                <w:szCs w:val="18"/>
              </w:rPr>
              <w:t xml:space="preserve"> months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Transfer to a subsidiary, holding or associate company</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Continue to vest without interruption</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Unaffected</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Cessation on the Company ceasing to hold the relevant subsidiary</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[As the Board determines]</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[As the Board determines]</w:t>
            </w:r>
          </w:p>
        </w:tc>
      </w:tr>
    </w:tbl>
    <w:p>
      <w:pPr>
        <w:spacing w:after="140"/>
      </w:pP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w:t>
      </w:r>
      <w:r>
        <w:rPr>
          <w:rFonts w:ascii="Calibri" w:cs="Calibri" w:eastAsia="Calibri" w:hAnsi="Calibri"/>
          <w:b/>
          <w:bCs/>
          <w:sz w:val="21"/>
          <w:szCs w:val="21"/>
        </w:rPr>
        <w:t xml:space="preserve">Cause</w:t>
      </w:r>
      <w:r>
        <w:rPr>
          <w:rFonts w:ascii="Calibri" w:cs="Calibri" w:eastAsia="Calibri" w:hAnsi="Calibri"/>
          <w:sz w:val="21"/>
          <w:szCs w:val="21"/>
        </w:rPr>
        <w:t xml:space="preserve">" means fraud, dishonesty, misappropriation, wilful misconduct, gross negligence, material breach of the Employee’s contract of employment or of any confidentiality or intellectual property obligation, or conviction of an offence involving moral turpitude.</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Options that lapse under this Clause shall return to the pool and shall be available for further Grant.</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Where an Employee is under notice of termination for Cause at the time of an attempted Exercise, the Board may suspend the Exercise pending the outcome, and shall notify the Employee.</w:t>
      </w:r>
    </w:p>
    <w:p>
      <w:pPr>
        <w:keepNext/>
        <w:spacing w:after="120" w:before="280"/>
        <w:outlineLvl w:val="0"/>
      </w:pPr>
      <w:r>
        <w:rPr>
          <w:rFonts w:ascii="Calibri" w:cs="Calibri" w:eastAsia="Calibri" w:hAnsi="Calibri"/>
          <w:b/>
          <w:bCs/>
          <w:color w:val="14161B"/>
          <w:sz w:val="22"/>
          <w:szCs w:val="22"/>
        </w:rPr>
        <w:t xml:space="preserve">8. CORPORATE ACTIONS AND CHANGE OF CONTROL</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On any bonus issue, share split, consolidation, reclassification, rights issue or other capital reorganisation, the number of Options outstanding and the Exercise Price shall be adjusted in a fair and reasonable manner so that the value of the Options and the proportionate entitlement of the Employee are neither increased nor decreased, and the Board shall notify each Employee of the adjustment.</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On a merger, amalgamation, scheme of arrangement or sale of substantially all the assets of the Company, the Board may provide for the assumption or substitution of outstanding Options by the acquiring entity on equivalent terms, for the acceleration of Vesting in whole or in part, or for the cashing out of Vested Options at the transaction price less the Exercise Price.</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On a change of control,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the Unvested Options of each Employee shall vest. Where an Employee’s employment is terminated without Cause within </w:t>
      </w:r>
      <w:r>
        <w:rPr>
          <w:rFonts w:ascii="Calibri" w:cs="Calibri" w:eastAsia="Calibri" w:hAnsi="Calibri"/>
          <w:b/>
          <w:bCs/>
          <w:sz w:val="21"/>
          <w:szCs w:val="21"/>
        </w:rPr>
        <w:t xml:space="preserve">[12]</w:t>
      </w:r>
      <w:r>
        <w:rPr>
          <w:rFonts w:ascii="Calibri" w:cs="Calibri" w:eastAsia="Calibri" w:hAnsi="Calibri"/>
          <w:sz w:val="21"/>
          <w:szCs w:val="21"/>
        </w:rPr>
        <w:t xml:space="preserve"> months after a change of control, all remaining Unvested Options of that Employee shall vest.</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Where the Company undertakes a liquidity event permitting Employees to sell Shares, the Board may permit or require Employees to Exercise and participate, and may facilitate a cashless exercise under which the Exercise Price and any withholding are met out of the sale proceeds.</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On a winding up of the Company, all Options shall lapse.</w:t>
      </w:r>
    </w:p>
    <w:p>
      <w:pPr>
        <w:keepNext/>
        <w:spacing w:after="120" w:before="280"/>
        <w:outlineLvl w:val="0"/>
      </w:pPr>
      <w:r>
        <w:rPr>
          <w:rFonts w:ascii="Calibri" w:cs="Calibri" w:eastAsia="Calibri" w:hAnsi="Calibri"/>
          <w:b/>
          <w:bCs/>
          <w:color w:val="14161B"/>
          <w:sz w:val="22"/>
          <w:szCs w:val="22"/>
        </w:rPr>
        <w:t xml:space="preserve">9. TAX</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The Employee shall be responsible for all taxes arising in respect of the Options and the Shares, including any perquisite arising on Exercise and any capital gain arising on a subsequent sale.</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The Company shall deduct tax at source on the perquisite arising on Exercise at the rate required by law, and shall deposit it and issue the prescribed certificate. The Company may require the Employee to pay the amount of the withholding to the Company before allotting the Shares, and may withhold allotment until it is paid.</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b/>
          <w:bCs/>
          <w:sz w:val="21"/>
          <w:szCs w:val="21"/>
        </w:rPr>
        <w:t xml:space="preserve">[Where the Company is an eligible startup and the Employee is entitled to the deferral of withholding available in respect of options issued by eligible startups, the Company shall deduct and deposit tax within the time permitted under that provision, and the Employee shall inform the Company promptly of any event triggering the deferred liability, including the sale of the Shares or the cessation of employment.]</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sz w:val="21"/>
          <w:szCs w:val="21"/>
        </w:rPr>
        <w:t xml:space="preserve">Nothing in this Scheme constitutes tax advice. Each Employee is advised to take independent advice before Exercise.</w:t>
      </w:r>
    </w:p>
    <w:p>
      <w:pPr>
        <w:keepNext/>
        <w:spacing w:after="120" w:before="280"/>
        <w:outlineLvl w:val="0"/>
      </w:pPr>
      <w:r>
        <w:rPr>
          <w:rFonts w:ascii="Calibri" w:cs="Calibri" w:eastAsia="Calibri" w:hAnsi="Calibri"/>
          <w:b/>
          <w:bCs/>
          <w:color w:val="14161B"/>
          <w:sz w:val="22"/>
          <w:szCs w:val="22"/>
        </w:rPr>
        <w:t xml:space="preserve">10. GENERAL</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b/>
          <w:bCs/>
          <w:sz w:val="21"/>
          <w:szCs w:val="21"/>
        </w:rPr>
        <w:t xml:space="preserve">No right to employment.</w:t>
      </w:r>
      <w:r>
        <w:rPr>
          <w:rFonts w:ascii="Calibri" w:cs="Calibri" w:eastAsia="Calibri" w:hAnsi="Calibri"/>
          <w:sz w:val="21"/>
          <w:szCs w:val="21"/>
        </w:rPr>
        <w:t xml:space="preserve"> Nothing in this Scheme or in any Grant Letter confers on an Employee any right to continued employment, or restricts the right of the Company to terminate that employment in accordance with its terms. The loss of any Option on cessation of employment shall not form part of any claim for compensation.</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b/>
          <w:bCs/>
          <w:sz w:val="21"/>
          <w:szCs w:val="21"/>
        </w:rPr>
        <w:t xml:space="preserve">Shareholder arrangements.</w:t>
      </w:r>
      <w:r>
        <w:rPr>
          <w:rFonts w:ascii="Calibri" w:cs="Calibri" w:eastAsia="Calibri" w:hAnsi="Calibri"/>
          <w:sz w:val="21"/>
          <w:szCs w:val="21"/>
        </w:rPr>
        <w:t xml:space="preserve"> An Employee who is allotted Shares on Exercise shall, as a condition of allotment, execute a deed of adherence to any shareholders’ agreement then in force, and shall be bound by the articles of association, including any restriction on transfer, any right of first refusal, any drag-along obligation and any lock-in.</w:t>
      </w:r>
    </w:p>
    <w:p>
      <w:pPr>
        <w:spacing w:after="120" w:before="60" w:line="276"/>
        <w:ind w:left="720" w:hanging="720"/>
        <w:jc w:val="both"/>
      </w:pPr>
      <w:r>
        <w:rPr>
          <w:rFonts w:ascii="Calibri" w:cs="Calibri" w:eastAsia="Calibri" w:hAnsi="Calibri"/>
          <w:sz w:val="21"/>
          <w:szCs w:val="21"/>
        </w:rPr>
        <w:t xml:space="preserve">10.3	</w:t>
      </w:r>
      <w:r>
        <w:rPr>
          <w:rFonts w:ascii="Calibri" w:cs="Calibri" w:eastAsia="Calibri" w:hAnsi="Calibri"/>
          <w:b/>
          <w:bCs/>
          <w:sz w:val="21"/>
          <w:szCs w:val="21"/>
        </w:rPr>
        <w:t xml:space="preserve">Amendment and termination.</w:t>
      </w:r>
      <w:r>
        <w:rPr>
          <w:rFonts w:ascii="Calibri" w:cs="Calibri" w:eastAsia="Calibri" w:hAnsi="Calibri"/>
          <w:sz w:val="21"/>
          <w:szCs w:val="21"/>
        </w:rPr>
        <w:t xml:space="preserve"> The Board may amend this Scheme, subject to the approval of the members where required, provided that no amendment shall adversely affect an Employee’s rights in respect of Options already granted without that Employee’s written consent. The Board may terminate this Scheme at any time, and termination shall not affect Options already granted.</w:t>
      </w:r>
    </w:p>
    <w:p>
      <w:pPr>
        <w:spacing w:after="120" w:before="60" w:line="276"/>
        <w:ind w:left="720" w:hanging="720"/>
        <w:jc w:val="both"/>
      </w:pPr>
      <w:r>
        <w:rPr>
          <w:rFonts w:ascii="Calibri" w:cs="Calibri" w:eastAsia="Calibri" w:hAnsi="Calibri"/>
          <w:sz w:val="21"/>
          <w:szCs w:val="21"/>
        </w:rPr>
        <w:t xml:space="preserve">10.4	</w:t>
      </w:r>
      <w:r>
        <w:rPr>
          <w:rFonts w:ascii="Calibri" w:cs="Calibri" w:eastAsia="Calibri" w:hAnsi="Calibri"/>
          <w:b/>
          <w:bCs/>
          <w:sz w:val="21"/>
          <w:szCs w:val="21"/>
        </w:rPr>
        <w:t xml:space="preserve">Notices and records.</w:t>
      </w:r>
      <w:r>
        <w:rPr>
          <w:rFonts w:ascii="Calibri" w:cs="Calibri" w:eastAsia="Calibri" w:hAnsi="Calibri"/>
          <w:sz w:val="21"/>
          <w:szCs w:val="21"/>
        </w:rPr>
        <w:t xml:space="preserve"> Notices to an Employee shall be sent to the address or email recorded in the Company’s personnel records. The Company shall provide each Employee, at least annually, a statement of Options granted, vested, exercised, lapsed and outstanding.</w:t>
      </w:r>
    </w:p>
    <w:p>
      <w:pPr>
        <w:spacing w:after="120" w:before="60" w:line="276"/>
        <w:ind w:left="720" w:hanging="720"/>
        <w:jc w:val="both"/>
      </w:pPr>
      <w:r>
        <w:rPr>
          <w:rFonts w:ascii="Calibri" w:cs="Calibri" w:eastAsia="Calibri" w:hAnsi="Calibri"/>
          <w:sz w:val="21"/>
          <w:szCs w:val="21"/>
        </w:rPr>
        <w:t xml:space="preserve">10.5	</w:t>
      </w:r>
      <w:r>
        <w:rPr>
          <w:rFonts w:ascii="Calibri" w:cs="Calibri" w:eastAsia="Calibri" w:hAnsi="Calibri"/>
          <w:b/>
          <w:bCs/>
          <w:sz w:val="21"/>
          <w:szCs w:val="21"/>
        </w:rPr>
        <w:t xml:space="preserve">Disclosure.</w:t>
      </w:r>
      <w:r>
        <w:rPr>
          <w:rFonts w:ascii="Calibri" w:cs="Calibri" w:eastAsia="Calibri" w:hAnsi="Calibri"/>
          <w:sz w:val="21"/>
          <w:szCs w:val="21"/>
        </w:rPr>
        <w:t xml:space="preserve"> The Company shall make the disclosures in respect of this Scheme required in the Board’s report and shall maintain the register of options in the prescribed form.</w:t>
      </w:r>
    </w:p>
    <w:p>
      <w:pPr>
        <w:spacing w:after="120" w:before="60" w:line="276"/>
        <w:ind w:left="720" w:hanging="720"/>
        <w:jc w:val="both"/>
      </w:pPr>
      <w:r>
        <w:rPr>
          <w:rFonts w:ascii="Calibri" w:cs="Calibri" w:eastAsia="Calibri" w:hAnsi="Calibri"/>
          <w:sz w:val="21"/>
          <w:szCs w:val="21"/>
        </w:rPr>
        <w:t xml:space="preserve">10.6	</w:t>
      </w:r>
      <w:r>
        <w:rPr>
          <w:rFonts w:ascii="Calibri" w:cs="Calibri" w:eastAsia="Calibri" w:hAnsi="Calibri"/>
          <w:b/>
          <w:bCs/>
          <w:sz w:val="21"/>
          <w:szCs w:val="21"/>
        </w:rPr>
        <w:t xml:space="preserve">Governing law.</w:t>
      </w:r>
      <w:r>
        <w:rPr>
          <w:rFonts w:ascii="Calibri" w:cs="Calibri" w:eastAsia="Calibri" w:hAnsi="Calibri"/>
          <w:sz w:val="21"/>
          <w:szCs w:val="21"/>
        </w:rPr>
        <w:t xml:space="preserve"> This Scheme is governed by the laws of India, and the courts at </w:t>
      </w:r>
      <w:r>
        <w:rPr>
          <w:rFonts w:ascii="Calibri" w:cs="Calibri" w:eastAsia="Calibri" w:hAnsi="Calibri"/>
          <w:b/>
          <w:bCs/>
          <w:sz w:val="21"/>
          <w:szCs w:val="21"/>
        </w:rPr>
        <w:t xml:space="preserve">[CITY]</w:t>
      </w:r>
      <w:r>
        <w:rPr>
          <w:rFonts w:ascii="Calibri" w:cs="Calibri" w:eastAsia="Calibri" w:hAnsi="Calibri"/>
          <w:sz w:val="21"/>
          <w:szCs w:val="21"/>
        </w:rPr>
        <w:t xml:space="preserve"> shall have exclusive jurisdiction.</w:t>
      </w:r>
    </w:p>
    <w:p>
      <w:pPr>
        <w:spacing w:after="240"/>
      </w:pPr>
    </w:p>
    <w:p>
      <w:pPr>
        <w:spacing w:after="240" w:before="0" w:line="276"/>
        <w:jc w:val="both"/>
      </w:pPr>
      <w:r>
        <w:rPr>
          <w:rFonts w:ascii="Calibri" w:cs="Calibri" w:eastAsia="Calibri" w:hAnsi="Calibri"/>
          <w:b/>
          <w:bCs/>
          <w:sz w:val="21"/>
          <w:szCs w:val="21"/>
        </w:rPr>
        <w:t xml:space="preserve">Approved by the Board of Directors on </w:t>
      </w:r>
      <w:r>
        <w:rPr>
          <w:rFonts w:ascii="Calibri" w:cs="Calibri" w:eastAsia="Calibri" w:hAnsi="Calibri"/>
          <w:b/>
          <w:bCs/>
          <w:sz w:val="21"/>
          <w:szCs w:val="21"/>
        </w:rPr>
        <w:t xml:space="preserve">[DATE]</w:t>
      </w:r>
      <w:r>
        <w:rPr>
          <w:rFonts w:ascii="Calibri" w:cs="Calibri" w:eastAsia="Calibri" w:hAnsi="Calibri"/>
          <w:b/>
          <w:bCs/>
          <w:sz w:val="21"/>
          <w:szCs w:val="21"/>
        </w:rPr>
        <w:t xml:space="preserve"> and by the members on </w:t>
      </w:r>
      <w:r>
        <w:rPr>
          <w:rFonts w:ascii="Calibri" w:cs="Calibri" w:eastAsia="Calibri" w:hAnsi="Calibri"/>
          <w:b/>
          <w:bCs/>
          <w:sz w:val="21"/>
          <w:szCs w:val="21"/>
        </w:rPr>
        <w:t xml:space="preserve">[DATE]</w:t>
      </w:r>
      <w:r>
        <w:rPr>
          <w:rFonts w:ascii="Calibri" w:cs="Calibri" w:eastAsia="Calibri" w:hAnsi="Calibri"/>
          <w:b/>
          <w:bCs/>
          <w:sz w:val="21"/>
          <w:szCs w:val="21"/>
        </w:rPr>
        <w:t xml:space="preser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[Director]</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[Company Secretary]</w:t>
            </w:r>
          </w:p>
          <w:p>
            <w:pPr>
              <w:spacing w:after="90" w:line="264"/>
            </w:pPr>
            <w:r>
              <w:rPr>
                <w:rFonts w:ascii="Calibri" w:cs="Calibri" w:eastAsia="Calibri" w:hAnsi="Calibri"/>
                <w:sz w:val="21"/>
                <w:szCs w:val="21"/>
              </w:rPr>
              <w:t xml:space="preserve">Membership No.: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Register of Employee Stock Options</w:t>
      </w:r>
    </w:p>
    <w:p>
      <w:pPr>
        <w:spacing w:after="140" w:before="0" w:line="276"/>
        <w:jc w:val="both"/>
      </w:pPr>
      <w:r>
        <w:rPr>
          <w:rFonts w:ascii="Calibri" w:cs="Calibri" w:eastAsia="Calibri" w:hAnsi="Calibri"/>
          <w:i/>
          <w:iCs/>
          <w:sz w:val="21"/>
          <w:szCs w:val="21"/>
        </w:rPr>
        <w:t xml:space="preserve">Maintain in the form prescribed. The fields below are the substance required. Reconcile to the pool authorised every quarter.</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469"/>
        <w:gridCol w:w="1723"/>
        <w:gridCol w:w="939"/>
        <w:gridCol w:w="1096"/>
        <w:gridCol w:w="1096"/>
        <w:gridCol w:w="1096"/>
        <w:gridCol w:w="1253"/>
        <w:gridCol w:w="1566"/>
        <w:gridCol w:w="1096"/>
        <w:gridCol w:w="1409"/>
        <w:gridCol w:w="1253"/>
        <w:gridCol w:w="939"/>
        <w:gridCol w:w="1103"/>
      </w:tblGrid>
      <w:tr>
        <w:trPr>
          <w:tblHeader/>
        </w:trPr>
        <w:tc>
          <w:tcPr>
            <w:tcW w:type="dxa" w:w="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172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 of grantee</w:t>
            </w:r>
          </w:p>
        </w:tc>
        <w:tc>
          <w:tcPr>
            <w:tcW w:type="dxa" w:w="93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Employee ID</w:t>
            </w:r>
          </w:p>
        </w:tc>
        <w:tc>
          <w:tcPr>
            <w:tcW w:type="dxa" w:w="109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Grant date</w:t>
            </w:r>
          </w:p>
        </w:tc>
        <w:tc>
          <w:tcPr>
            <w:tcW w:type="dxa" w:w="109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Options granted</w:t>
            </w:r>
          </w:p>
        </w:tc>
        <w:tc>
          <w:tcPr>
            <w:tcW w:type="dxa" w:w="109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Exercise price (₹)</w:t>
            </w:r>
          </w:p>
        </w:tc>
        <w:tc>
          <w:tcPr>
            <w:tcW w:type="dxa" w:w="12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Vesting commencement</w:t>
            </w:r>
          </w:p>
        </w:tc>
        <w:tc>
          <w:tcPr>
            <w:tcW w:type="dxa" w:w="156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Vesting schedule</w:t>
            </w:r>
          </w:p>
        </w:tc>
        <w:tc>
          <w:tcPr>
            <w:tcW w:type="dxa" w:w="109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Vested to date</w:t>
            </w:r>
          </w:p>
        </w:tc>
        <w:tc>
          <w:tcPr>
            <w:tcW w:type="dxa" w:w="14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Exercised and date</w:t>
            </w:r>
          </w:p>
        </w:tc>
        <w:tc>
          <w:tcPr>
            <w:tcW w:type="dxa" w:w="12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Shares allotted</w:t>
            </w:r>
          </w:p>
        </w:tc>
        <w:tc>
          <w:tcPr>
            <w:tcW w:type="dxa" w:w="93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Lapsed</w:t>
            </w:r>
          </w:p>
        </w:tc>
        <w:tc>
          <w:tcPr>
            <w:tcW w:type="dxa" w:w="11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Outstanding</w:t>
            </w:r>
          </w:p>
        </w:tc>
      </w:tr>
      <w:tr>
        <w:tc>
          <w:tcPr>
            <w:tcW w:type="dxa" w:w="46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172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93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[ID]</w:t>
            </w:r>
          </w:p>
        </w:tc>
        <w:tc>
          <w:tcPr>
            <w:tcW w:type="dxa" w:w="109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09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09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[PRICE]</w:t>
            </w:r>
          </w:p>
        </w:tc>
        <w:tc>
          <w:tcPr>
            <w:tcW w:type="dxa" w:w="12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6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[SCHEDULE]</w:t>
            </w:r>
          </w:p>
        </w:tc>
        <w:tc>
          <w:tcPr>
            <w:tcW w:type="dxa" w:w="109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4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r>
              <w:rPr>
                <w:rFonts w:ascii="Calibri" w:cs="Calibri" w:eastAsia="Calibri" w:hAnsi="Calibri"/>
                <w:sz w:val="15"/>
                <w:szCs w:val="15"/>
              </w:rPr>
              <w:t xml:space="preserve">; </w:t>
            </w:r>
            <w:r>
              <w:rPr>
                <w:rFonts w:ascii="Calibri" w:cs="Calibri" w:eastAsia="Calibri" w:hAnsi="Calibri"/>
                <w:b/>
                <w:bCs/>
                <w:sz w:val="15"/>
                <w:szCs w:val="15"/>
              </w:rPr>
              <w:t xml:space="preserve">[DATE]</w:t>
            </w:r>
          </w:p>
        </w:tc>
        <w:tc>
          <w:tcPr>
            <w:tcW w:type="dxa" w:w="12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93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1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r>
      <w:tr>
        <w:tc>
          <w:tcPr>
            <w:tcW w:type="dxa" w:w="46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172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93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[ID]</w:t>
            </w:r>
          </w:p>
        </w:tc>
        <w:tc>
          <w:tcPr>
            <w:tcW w:type="dxa" w:w="109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09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09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[PRICE]</w:t>
            </w:r>
          </w:p>
        </w:tc>
        <w:tc>
          <w:tcPr>
            <w:tcW w:type="dxa" w:w="12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6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[SCHEDULE]</w:t>
            </w:r>
          </w:p>
        </w:tc>
        <w:tc>
          <w:tcPr>
            <w:tcW w:type="dxa" w:w="109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4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r>
              <w:rPr>
                <w:rFonts w:ascii="Calibri" w:cs="Calibri" w:eastAsia="Calibri" w:hAnsi="Calibri"/>
                <w:sz w:val="15"/>
                <w:szCs w:val="15"/>
              </w:rPr>
              <w:t xml:space="preserve">; </w:t>
            </w:r>
            <w:r>
              <w:rPr>
                <w:rFonts w:ascii="Calibri" w:cs="Calibri" w:eastAsia="Calibri" w:hAnsi="Calibri"/>
                <w:b/>
                <w:bCs/>
                <w:sz w:val="15"/>
                <w:szCs w:val="15"/>
              </w:rPr>
              <w:t xml:space="preserve">[DATE]</w:t>
            </w:r>
          </w:p>
        </w:tc>
        <w:tc>
          <w:tcPr>
            <w:tcW w:type="dxa" w:w="12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93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1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r>
      <w:tr>
        <w:tc>
          <w:tcPr>
            <w:tcW w:type="dxa" w:w="469"/>
            <w:tcMar>
              <w:top w:type="dxa" w:w="70"/>
              <w:left w:type="dxa" w:w="100"/>
              <w:bottom w:type="dxa" w:w="70"/>
              <w:right w:type="dxa" w:w="100"/>
            </w:tcMar>
            <w:vAlign w:val="center"/>
          </w:tcPr>
          <w:p>
            <w:pPr>
              <w:spacing w:after="0" w:line="240"/>
              <w:jc w:val="left"/>
            </w:pPr>
          </w:p>
        </w:tc>
        <w:tc>
          <w:tcPr>
            <w:tcW w:type="dxa" w:w="172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Total</w:t>
            </w:r>
          </w:p>
        </w:tc>
        <w:tc>
          <w:tcPr>
            <w:tcW w:type="dxa" w:w="939"/>
            <w:tcMar>
              <w:top w:type="dxa" w:w="70"/>
              <w:left w:type="dxa" w:w="100"/>
              <w:bottom w:type="dxa" w:w="70"/>
              <w:right w:type="dxa" w:w="100"/>
            </w:tcMar>
            <w:vAlign w:val="center"/>
          </w:tcPr>
          <w:p>
            <w:pPr>
              <w:spacing w:after="0" w:line="240"/>
              <w:jc w:val="left"/>
            </w:pPr>
          </w:p>
        </w:tc>
        <w:tc>
          <w:tcPr>
            <w:tcW w:type="dxa" w:w="1096"/>
            <w:tcMar>
              <w:top w:type="dxa" w:w="70"/>
              <w:left w:type="dxa" w:w="100"/>
              <w:bottom w:type="dxa" w:w="70"/>
              <w:right w:type="dxa" w:w="100"/>
            </w:tcMar>
            <w:vAlign w:val="center"/>
          </w:tcPr>
          <w:p>
            <w:pPr>
              <w:spacing w:after="0" w:line="240"/>
              <w:jc w:val="left"/>
            </w:pPr>
          </w:p>
        </w:tc>
        <w:tc>
          <w:tcPr>
            <w:tcW w:type="dxa" w:w="109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096"/>
            <w:tcMar>
              <w:top w:type="dxa" w:w="70"/>
              <w:left w:type="dxa" w:w="100"/>
              <w:bottom w:type="dxa" w:w="70"/>
              <w:right w:type="dxa" w:w="100"/>
            </w:tcMar>
            <w:vAlign w:val="center"/>
          </w:tcPr>
          <w:p>
            <w:pPr>
              <w:spacing w:after="0" w:line="240"/>
              <w:jc w:val="left"/>
            </w:pPr>
          </w:p>
        </w:tc>
        <w:tc>
          <w:tcPr>
            <w:tcW w:type="dxa" w:w="1253"/>
            <w:tcMar>
              <w:top w:type="dxa" w:w="70"/>
              <w:left w:type="dxa" w:w="100"/>
              <w:bottom w:type="dxa" w:w="70"/>
              <w:right w:type="dxa" w:w="100"/>
            </w:tcMar>
            <w:vAlign w:val="center"/>
          </w:tcPr>
          <w:p>
            <w:pPr>
              <w:spacing w:after="0" w:line="240"/>
              <w:jc w:val="left"/>
            </w:pPr>
          </w:p>
        </w:tc>
        <w:tc>
          <w:tcPr>
            <w:tcW w:type="dxa" w:w="1566"/>
            <w:tcMar>
              <w:top w:type="dxa" w:w="70"/>
              <w:left w:type="dxa" w:w="100"/>
              <w:bottom w:type="dxa" w:w="70"/>
              <w:right w:type="dxa" w:w="100"/>
            </w:tcMar>
            <w:vAlign w:val="center"/>
          </w:tcPr>
          <w:p>
            <w:pPr>
              <w:spacing w:after="0" w:line="240"/>
              <w:jc w:val="left"/>
            </w:pPr>
          </w:p>
        </w:tc>
        <w:tc>
          <w:tcPr>
            <w:tcW w:type="dxa" w:w="109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4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2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93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1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r>
    </w:tbl>
    <w:p>
      <w:pPr>
        <w:spacing w:after="18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Pool Reconciliation</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5112"/>
        <w:gridCol w:w="2105"/>
        <w:gridCol w:w="2105"/>
        <w:gridCol w:w="3609"/>
        <w:gridCol w:w="2107"/>
      </w:tblGrid>
      <w:tr>
        <w:trPr>
          <w:tblHeader/>
        </w:trPr>
        <w:tc>
          <w:tcPr>
            <w:tcW w:type="dxa" w:w="511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Movement</w:t>
            </w:r>
          </w:p>
        </w:tc>
        <w:tc>
          <w:tcPr>
            <w:tcW w:type="dxa" w:w="210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Options</w:t>
            </w:r>
          </w:p>
        </w:tc>
        <w:tc>
          <w:tcPr>
            <w:tcW w:type="dxa" w:w="210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 fully diluted</w:t>
            </w:r>
          </w:p>
        </w:tc>
        <w:tc>
          <w:tcPr>
            <w:tcW w:type="dxa" w:w="36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Authority</w:t>
            </w:r>
          </w:p>
        </w:tc>
        <w:tc>
          <w:tcPr>
            <w:tcW w:type="dxa" w:w="2107"/>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Date</w:t>
            </w:r>
          </w:p>
        </w:tc>
      </w:tr>
      <w:t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Pool authorised at adoption of the Scheme</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[Members’ resolution]</w:t>
            </w:r>
          </w:p>
        </w:tc>
        <w:tc>
          <w:tcPr>
            <w:tcW w:type="dxa" w:w="2107"/>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[DATE]</w:t>
            </w:r>
          </w:p>
        </w:tc>
      </w:tr>
      <w:t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Increase approved at </w:t>
            </w:r>
            <w:r>
              <w:rPr>
                <w:rFonts w:ascii="Calibri" w:cs="Calibri" w:eastAsia="Calibri" w:hAnsi="Calibri"/>
                <w:b/>
                <w:bCs/>
                <w:sz w:val="17"/>
                <w:szCs w:val="17"/>
              </w:rPr>
              <w:t xml:space="preserve">[ROUND]</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[Members’ resolution]</w:t>
            </w:r>
          </w:p>
        </w:tc>
        <w:tc>
          <w:tcPr>
            <w:tcW w:type="dxa" w:w="2107"/>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[DATE]</w:t>
            </w:r>
          </w:p>
        </w:tc>
      </w:tr>
      <w:t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Total authorised</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3609"/>
            <w:tcMar>
              <w:top w:type="dxa" w:w="70"/>
              <w:left w:type="dxa" w:w="100"/>
              <w:bottom w:type="dxa" w:w="70"/>
              <w:right w:type="dxa" w:w="100"/>
            </w:tcMar>
            <w:vAlign w:val="center"/>
          </w:tcPr>
          <w:p>
            <w:pPr>
              <w:spacing w:after="0" w:line="240"/>
              <w:jc w:val="left"/>
            </w:pPr>
          </w:p>
        </w:tc>
        <w:tc>
          <w:tcPr>
            <w:tcW w:type="dxa" w:w="2107"/>
            <w:tcMar>
              <w:top w:type="dxa" w:w="70"/>
              <w:left w:type="dxa" w:w="100"/>
              <w:bottom w:type="dxa" w:w="70"/>
              <w:right w:type="dxa" w:w="100"/>
            </w:tcMar>
            <w:vAlign w:val="center"/>
          </w:tcPr>
          <w:p>
            <w:pPr>
              <w:spacing w:after="0" w:line="240"/>
              <w:jc w:val="center"/>
            </w:pPr>
          </w:p>
        </w:tc>
      </w:tr>
      <w:t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Less: granted and outstanding</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[NUMBER]</w:t>
            </w:r>
            <w:r>
              <w:rPr>
                <w:rFonts w:ascii="Calibri" w:cs="Calibri" w:eastAsia="Calibri" w:hAnsi="Calibri"/>
                <w:sz w:val="17"/>
                <w:szCs w:val="17"/>
              </w:rPr>
              <w:t xml:space="preserve">)</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w:t>
            </w:r>
            <w:r>
              <w:rPr>
                <w:rFonts w:ascii="Calibri" w:cs="Calibri" w:eastAsia="Calibri" w:hAnsi="Calibri"/>
                <w:sz w:val="17"/>
                <w:szCs w:val="17"/>
              </w:rPr>
              <w:t xml:space="preserve">)</w:t>
            </w:r>
          </w:p>
        </w:tc>
        <w:tc>
          <w:tcPr>
            <w:tcW w:type="dxa" w:w="3609"/>
            <w:tcMar>
              <w:top w:type="dxa" w:w="70"/>
              <w:left w:type="dxa" w:w="100"/>
              <w:bottom w:type="dxa" w:w="70"/>
              <w:right w:type="dxa" w:w="100"/>
            </w:tcMar>
            <w:vAlign w:val="center"/>
          </w:tcPr>
          <w:p>
            <w:pPr>
              <w:spacing w:after="0" w:line="240"/>
              <w:jc w:val="left"/>
            </w:pPr>
          </w:p>
        </w:tc>
        <w:tc>
          <w:tcPr>
            <w:tcW w:type="dxa" w:w="2107"/>
            <w:tcMar>
              <w:top w:type="dxa" w:w="70"/>
              <w:left w:type="dxa" w:w="100"/>
              <w:bottom w:type="dxa" w:w="70"/>
              <w:right w:type="dxa" w:w="100"/>
            </w:tcMar>
            <w:vAlign w:val="center"/>
          </w:tcPr>
          <w:p>
            <w:pPr>
              <w:spacing w:after="0" w:line="240"/>
              <w:jc w:val="center"/>
            </w:pPr>
          </w:p>
        </w:tc>
      </w:tr>
      <w:t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Less: exercised and allotted as Shares</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[NUMBER]</w:t>
            </w:r>
            <w:r>
              <w:rPr>
                <w:rFonts w:ascii="Calibri" w:cs="Calibri" w:eastAsia="Calibri" w:hAnsi="Calibri"/>
                <w:sz w:val="17"/>
                <w:szCs w:val="17"/>
              </w:rPr>
              <w:t xml:space="preserve">)</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w:t>
            </w:r>
            <w:r>
              <w:rPr>
                <w:rFonts w:ascii="Calibri" w:cs="Calibri" w:eastAsia="Calibri" w:hAnsi="Calibri"/>
                <w:sz w:val="17"/>
                <w:szCs w:val="17"/>
              </w:rPr>
              <w:t xml:space="preserve">)</w:t>
            </w:r>
          </w:p>
        </w:tc>
        <w:tc>
          <w:tcPr>
            <w:tcW w:type="dxa" w:w="3609"/>
            <w:tcMar>
              <w:top w:type="dxa" w:w="70"/>
              <w:left w:type="dxa" w:w="100"/>
              <w:bottom w:type="dxa" w:w="70"/>
              <w:right w:type="dxa" w:w="100"/>
            </w:tcMar>
            <w:vAlign w:val="center"/>
          </w:tcPr>
          <w:p>
            <w:pPr>
              <w:spacing w:after="0" w:line="240"/>
              <w:jc w:val="left"/>
            </w:pPr>
          </w:p>
        </w:tc>
        <w:tc>
          <w:tcPr>
            <w:tcW w:type="dxa" w:w="2107"/>
            <w:tcMar>
              <w:top w:type="dxa" w:w="70"/>
              <w:left w:type="dxa" w:w="100"/>
              <w:bottom w:type="dxa" w:w="70"/>
              <w:right w:type="dxa" w:w="100"/>
            </w:tcMar>
            <w:vAlign w:val="center"/>
          </w:tcPr>
          <w:p>
            <w:pPr>
              <w:spacing w:after="0" w:line="240"/>
              <w:jc w:val="center"/>
            </w:pPr>
          </w:p>
        </w:tc>
      </w:tr>
      <w:t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Add: lapsed and returned to the pool</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3609"/>
            <w:tcMar>
              <w:top w:type="dxa" w:w="70"/>
              <w:left w:type="dxa" w:w="100"/>
              <w:bottom w:type="dxa" w:w="70"/>
              <w:right w:type="dxa" w:w="100"/>
            </w:tcMar>
            <w:vAlign w:val="center"/>
          </w:tcPr>
          <w:p>
            <w:pPr>
              <w:spacing w:after="0" w:line="240"/>
              <w:jc w:val="left"/>
            </w:pPr>
          </w:p>
        </w:tc>
        <w:tc>
          <w:tcPr>
            <w:tcW w:type="dxa" w:w="2107"/>
            <w:tcMar>
              <w:top w:type="dxa" w:w="70"/>
              <w:left w:type="dxa" w:w="100"/>
              <w:bottom w:type="dxa" w:w="70"/>
              <w:right w:type="dxa" w:w="100"/>
            </w:tcMar>
            <w:vAlign w:val="center"/>
          </w:tcPr>
          <w:p>
            <w:pPr>
              <w:spacing w:after="0" w:line="240"/>
              <w:jc w:val="center"/>
            </w:pPr>
          </w:p>
        </w:tc>
      </w:tr>
      <w:tr>
        <w:tc>
          <w:tcPr>
            <w:tcW w:type="dxa" w:w="511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Available for grant</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[NUMBER]</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3609"/>
            <w:tcMar>
              <w:top w:type="dxa" w:w="70"/>
              <w:left w:type="dxa" w:w="100"/>
              <w:bottom w:type="dxa" w:w="70"/>
              <w:right w:type="dxa" w:w="100"/>
            </w:tcMar>
            <w:vAlign w:val="center"/>
          </w:tcPr>
          <w:p>
            <w:pPr>
              <w:spacing w:after="0" w:line="240"/>
              <w:jc w:val="left"/>
            </w:pPr>
          </w:p>
        </w:tc>
        <w:tc>
          <w:tcPr>
            <w:tcW w:type="dxa" w:w="2107"/>
            <w:tcMar>
              <w:top w:type="dxa" w:w="70"/>
              <w:left w:type="dxa" w:w="100"/>
              <w:bottom w:type="dxa" w:w="70"/>
              <w:right w:type="dxa" w:w="100"/>
            </w:tcMar>
            <w:vAlign w:val="center"/>
          </w:tcPr>
          <w:p>
            <w:pPr>
              <w:spacing w:after="0" w:line="240"/>
              <w:jc w:val="center"/>
            </w:pPr>
          </w:p>
        </w:tc>
      </w:tr>
    </w:tbl>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Approve the scheme before granting anything</w:t>
      </w:r>
    </w:p>
    <w:p>
      <w:pPr>
        <w:spacing w:after="60" w:line="264"/>
        <w:jc w:val="both"/>
      </w:pPr>
      <w:r>
        <w:rPr>
          <w:rFonts w:ascii="Calibri" w:cs="Calibri" w:eastAsia="Calibri" w:hAnsi="Calibri"/>
          <w:sz w:val="19"/>
          <w:szCs w:val="19"/>
        </w:rPr>
        <w:t xml:space="preserve">Options granted before the members have approved the scheme are not validly granted, and the defect cannot be cured retrospectively without re-granting on current terms, which changes the economics for the employee. Companies that promise options in an offer letter and adopt a scheme two years later create exactly this problem. Adopt the scheme, then grant.</w:t>
      </w:r>
    </w:p>
    <w:p>
      <w:pPr>
        <w:keepNext/>
        <w:spacing w:after="40" w:before="140"/>
      </w:pPr>
      <w:r>
        <w:rPr>
          <w:rFonts w:ascii="Calibri" w:cs="Calibri" w:eastAsia="Calibri" w:hAnsi="Calibri"/>
          <w:b/>
          <w:bCs/>
          <w:color w:val="14161B"/>
          <w:sz w:val="20"/>
          <w:szCs w:val="20"/>
        </w:rPr>
        <w:t xml:space="preserve">Who may hold options</w:t>
      </w:r>
    </w:p>
    <w:p>
      <w:pPr>
        <w:spacing w:after="60" w:line="264"/>
        <w:jc w:val="both"/>
      </w:pPr>
      <w:r>
        <w:rPr>
          <w:rFonts w:ascii="Calibri" w:cs="Calibri" w:eastAsia="Calibri" w:hAnsi="Calibri"/>
          <w:sz w:val="19"/>
          <w:szCs w:val="19"/>
        </w:rPr>
        <w:t xml:space="preserve">The definition of Employee is prescribed and excludes promoters, members of the promoter group, independent directors, and directors holding more than the prescribed percentage of equity. A recognised startup is relieved from the promoter and shareholding exclusions for a period from incorporation, which is why many founders can hold options in an early-stage company and cannot in a mature one. Confirm the recognition is subsisting, and confirm the current period of the relief, before granting to anyone in those categories.</w:t>
      </w:r>
    </w:p>
    <w:p>
      <w:pPr>
        <w:keepNext/>
        <w:spacing w:after="40" w:before="140"/>
      </w:pPr>
      <w:r>
        <w:rPr>
          <w:rFonts w:ascii="Calibri" w:cs="Calibri" w:eastAsia="Calibri" w:hAnsi="Calibri"/>
          <w:b/>
          <w:bCs/>
          <w:color w:val="14161B"/>
          <w:sz w:val="20"/>
          <w:szCs w:val="20"/>
        </w:rPr>
        <w:t xml:space="preserve">Advisers and consultants cannot hold options under this scheme</w:t>
      </w:r>
    </w:p>
    <w:p>
      <w:pPr>
        <w:spacing w:after="60" w:line="264"/>
        <w:jc w:val="both"/>
      </w:pPr>
      <w:r>
        <w:rPr>
          <w:rFonts w:ascii="Calibri" w:cs="Calibri" w:eastAsia="Calibri" w:hAnsi="Calibri"/>
          <w:sz w:val="19"/>
          <w:szCs w:val="19"/>
        </w:rPr>
        <w:t xml:space="preserve">A person engaged as a consultant, an adviser, or through a service company is not an Employee. Granting to them under this scheme is a defect. Where the Company wishes to give equity to an adviser, use a different instrument — typically a direct share issue on restricted terms — and take advice, because it engages different provisions.</w:t>
      </w:r>
    </w:p>
    <w:p>
      <w:pPr>
        <w:keepNext/>
        <w:spacing w:after="40" w:before="140"/>
      </w:pPr>
      <w:r>
        <w:rPr>
          <w:rFonts w:ascii="Calibri" w:cs="Calibri" w:eastAsia="Calibri" w:hAnsi="Calibri"/>
          <w:b/>
          <w:bCs/>
          <w:color w:val="14161B"/>
          <w:sz w:val="20"/>
          <w:szCs w:val="20"/>
        </w:rPr>
        <w:t xml:space="preserve">The one-year minimum vesting period</w:t>
      </w:r>
    </w:p>
    <w:p>
      <w:pPr>
        <w:spacing w:after="60" w:line="264"/>
        <w:jc w:val="both"/>
      </w:pPr>
      <w:r>
        <w:rPr>
          <w:rFonts w:ascii="Calibri" w:cs="Calibri" w:eastAsia="Calibri" w:hAnsi="Calibri"/>
          <w:sz w:val="19"/>
          <w:szCs w:val="19"/>
        </w:rPr>
        <w:t xml:space="preserve">There must be a minimum period between grant and vesting, which may not be less than one year. A grant purporting to vest immediately, or to vest on a date within a year of grant, is void as to that tranche. Acceleration on death or permanent incapacity is expressly permitted; acceleration on other events should be checked before it is relied on.</w:t>
      </w:r>
    </w:p>
    <w:p>
      <w:pPr>
        <w:keepNext/>
        <w:spacing w:after="40" w:before="140"/>
      </w:pPr>
      <w:r>
        <w:rPr>
          <w:rFonts w:ascii="Calibri" w:cs="Calibri" w:eastAsia="Calibri" w:hAnsi="Calibri"/>
          <w:b/>
          <w:bCs/>
          <w:color w:val="14161B"/>
          <w:sz w:val="20"/>
          <w:szCs w:val="20"/>
        </w:rPr>
        <w:t xml:space="preserve">Exercise price drives the tax outcome, not the company law outcome</w:t>
      </w:r>
    </w:p>
    <w:p>
      <w:pPr>
        <w:spacing w:after="60" w:line="264"/>
        <w:jc w:val="both"/>
      </w:pPr>
      <w:r>
        <w:rPr>
          <w:rFonts w:ascii="Calibri" w:cs="Calibri" w:eastAsia="Calibri" w:hAnsi="Calibri"/>
          <w:sz w:val="19"/>
          <w:szCs w:val="19"/>
        </w:rPr>
        <w:t xml:space="preserve">A face-value exercise price gives the employee the largest possible gain and the largest possible perquisite charge on exercise. A fair-value exercise price gives a smaller charge and a smaller gain. Neither is wrong, but employees are frequently not told that exercising creates a tax liability payable in cash at a time when the shares cannot be sold. Explain it in the grant letter, not at exercise.</w:t>
      </w:r>
    </w:p>
    <w:p>
      <w:pPr>
        <w:keepNext/>
        <w:spacing w:after="40" w:before="140"/>
      </w:pPr>
      <w:r>
        <w:rPr>
          <w:rFonts w:ascii="Calibri" w:cs="Calibri" w:eastAsia="Calibri" w:hAnsi="Calibri"/>
          <w:b/>
          <w:bCs/>
          <w:color w:val="14161B"/>
          <w:sz w:val="20"/>
          <w:szCs w:val="20"/>
        </w:rPr>
        <w:t xml:space="preserve">The exercise-time cash problem</w:t>
      </w:r>
    </w:p>
    <w:p>
      <w:pPr>
        <w:spacing w:after="60" w:line="264"/>
        <w:jc w:val="both"/>
      </w:pPr>
      <w:r>
        <w:rPr>
          <w:rFonts w:ascii="Calibri" w:cs="Calibri" w:eastAsia="Calibri" w:hAnsi="Calibri"/>
          <w:sz w:val="19"/>
          <w:szCs w:val="19"/>
        </w:rPr>
        <w:t xml:space="preserve">The perquisite is taxed at exercise, on the difference between fair market value and the exercise price, whether or not the employee can sell anything. In an unlisted company that means a real cash cost with no liquidity. The practical answers are to keep the exercise price low but the window long, to permit exercise only at a liquidity event, or to facilitate a cashless exercise as Clause 8.4 contemplates. Decide which before employees start leaving.</w:t>
      </w:r>
    </w:p>
    <w:p>
      <w:pPr>
        <w:keepNext/>
        <w:spacing w:after="40" w:before="140"/>
      </w:pPr>
      <w:r>
        <w:rPr>
          <w:rFonts w:ascii="Calibri" w:cs="Calibri" w:eastAsia="Calibri" w:hAnsi="Calibri"/>
          <w:b/>
          <w:bCs/>
          <w:color w:val="14161B"/>
          <w:sz w:val="20"/>
          <w:szCs w:val="20"/>
        </w:rPr>
        <w:t xml:space="preserve">Startup deferral of withholding</w:t>
      </w:r>
    </w:p>
    <w:p>
      <w:pPr>
        <w:spacing w:after="60" w:line="264"/>
        <w:jc w:val="both"/>
      </w:pPr>
      <w:r>
        <w:rPr>
          <w:rFonts w:ascii="Calibri" w:cs="Calibri" w:eastAsia="Calibri" w:hAnsi="Calibri"/>
          <w:sz w:val="19"/>
          <w:szCs w:val="19"/>
        </w:rPr>
        <w:t xml:space="preserve">A deferral of the obligation to deduct tax on the perquisite is available in respect of options issued by eligible startups, running until the earliest of a prescribed period, the sale of the shares, or the employee ceasing to be employed. Eligibility is narrower than recognition as a startup for other purposes. Confirm eligibility and the current mechanics before relying on it, and note that the deferral moves the liability, it does not remove it.</w:t>
      </w:r>
    </w:p>
    <w:p>
      <w:pPr>
        <w:keepNext/>
        <w:spacing w:after="40" w:before="140"/>
      </w:pPr>
      <w:r>
        <w:rPr>
          <w:rFonts w:ascii="Calibri" w:cs="Calibri" w:eastAsia="Calibri" w:hAnsi="Calibri"/>
          <w:b/>
          <w:bCs/>
          <w:color w:val="14161B"/>
          <w:sz w:val="20"/>
          <w:szCs w:val="20"/>
        </w:rPr>
        <w:t xml:space="preserve">Lapse on resignation is the term employees most misunderstand</w:t>
      </w:r>
    </w:p>
    <w:p>
      <w:pPr>
        <w:spacing w:after="60" w:line="264"/>
        <w:jc w:val="both"/>
      </w:pPr>
      <w:r>
        <w:rPr>
          <w:rFonts w:ascii="Calibri" w:cs="Calibri" w:eastAsia="Calibri" w:hAnsi="Calibri"/>
          <w:sz w:val="19"/>
          <w:szCs w:val="19"/>
        </w:rPr>
        <w:t xml:space="preserve">A short exercise window after resignation — thirty or ninety days — combined with a cash tax cost at exercise means that in practice a departing employee forfeits vested options. That may be the intended commercial position, but it should be a decision, not an accident. A longer window for good leavers is increasingly common and costs the company little.</w:t>
      </w:r>
    </w:p>
    <w:p>
      <w:pPr>
        <w:keepNext/>
        <w:spacing w:after="40" w:before="140"/>
      </w:pPr>
      <w:r>
        <w:rPr>
          <w:rFonts w:ascii="Calibri" w:cs="Calibri" w:eastAsia="Calibri" w:hAnsi="Calibri"/>
          <w:b/>
          <w:bCs/>
          <w:color w:val="14161B"/>
          <w:sz w:val="20"/>
          <w:szCs w:val="20"/>
        </w:rPr>
        <w:t xml:space="preserve">Reconcile the pool quarterly</w:t>
      </w:r>
    </w:p>
    <w:p>
      <w:pPr>
        <w:spacing w:after="60" w:line="264"/>
        <w:jc w:val="both"/>
      </w:pPr>
      <w:r>
        <w:rPr>
          <w:rFonts w:ascii="Calibri" w:cs="Calibri" w:eastAsia="Calibri" w:hAnsi="Calibri"/>
          <w:sz w:val="19"/>
          <w:szCs w:val="19"/>
        </w:rPr>
        <w:t xml:space="preserve">Annexure B exists because the single most common ESOP finding in diligence is that more options have been granted than were ever authorised, usually because lapsed options were re-granted without being tracked, or because grants were made from a spreadsheet that nobody reconciled to the members’ resolution. Reconcile every quarter and place the reconciliation before the Board.</w:t>
      </w:r>
    </w:p>
    <w:p>
      <w:pPr>
        <w:keepNext/>
        <w:spacing w:after="40" w:before="140"/>
      </w:pPr>
      <w:r>
        <w:rPr>
          <w:rFonts w:ascii="Calibri" w:cs="Calibri" w:eastAsia="Calibri" w:hAnsi="Calibri"/>
          <w:b/>
          <w:bCs/>
          <w:color w:val="14161B"/>
          <w:sz w:val="20"/>
          <w:szCs w:val="20"/>
        </w:rPr>
        <w:t xml:space="preserve">Grant letters must be signed and returned</w:t>
      </w:r>
    </w:p>
    <w:p>
      <w:pPr>
        <w:spacing w:after="60" w:line="264"/>
        <w:jc w:val="both"/>
      </w:pPr>
      <w:r>
        <w:rPr>
          <w:rFonts w:ascii="Calibri" w:cs="Calibri" w:eastAsia="Calibri" w:hAnsi="Calibri"/>
          <w:sz w:val="19"/>
          <w:szCs w:val="19"/>
        </w:rPr>
        <w:t xml:space="preserve">A grant recorded only in a board resolution or a spreadsheet, with no signed acknowledgement from the employee, is difficult to enforce and difficult to prove. Clause 4.2 makes the grant conditional on a signed acknowledgement. Chase them; unsigned grant letters accumulate.</w:t>
      </w:r>
    </w:p>
    <w:p>
      <w:pPr>
        <w:keepNext/>
        <w:spacing w:after="40" w:before="140"/>
      </w:pPr>
      <w:r>
        <w:rPr>
          <w:rFonts w:ascii="Calibri" w:cs="Calibri" w:eastAsia="Calibri" w:hAnsi="Calibri"/>
          <w:b/>
          <w:bCs/>
          <w:color w:val="14161B"/>
          <w:sz w:val="20"/>
          <w:szCs w:val="20"/>
        </w:rPr>
        <w:t xml:space="preserve">Adhesion to the shareholders’ agreement</w:t>
      </w:r>
    </w:p>
    <w:p>
      <w:pPr>
        <w:spacing w:after="60" w:line="264"/>
        <w:jc w:val="both"/>
      </w:pPr>
      <w:r>
        <w:rPr>
          <w:rFonts w:ascii="Calibri" w:cs="Calibri" w:eastAsia="Calibri" w:hAnsi="Calibri"/>
          <w:sz w:val="19"/>
          <w:szCs w:val="19"/>
        </w:rPr>
        <w:t xml:space="preserve">An employee who exercises becomes a shareholder, with inspection rights, and a party who must be dragged along on an exit. Clause 10.2 makes execution of a deed of adherence a condition of allotment. Without it, a company can find itself with a minority shareholder who is not bound by the transfer restrictions in the investor documents.</w:t>
      </w:r>
    </w:p>
    <w:p>
      <w:pPr>
        <w:keepNext/>
        <w:spacing w:after="40" w:before="140"/>
      </w:pPr>
      <w:r>
        <w:rPr>
          <w:rFonts w:ascii="Calibri" w:cs="Calibri" w:eastAsia="Calibri" w:hAnsi="Calibri"/>
          <w:b/>
          <w:bCs/>
          <w:color w:val="14161B"/>
          <w:sz w:val="20"/>
          <w:szCs w:val="20"/>
        </w:rPr>
        <w:t xml:space="preserve">Register and disclosure</w:t>
      </w:r>
    </w:p>
    <w:p>
      <w:pPr>
        <w:spacing w:after="60" w:line="264"/>
        <w:jc w:val="both"/>
      </w:pPr>
      <w:r>
        <w:rPr>
          <w:rFonts w:ascii="Calibri" w:cs="Calibri" w:eastAsia="Calibri" w:hAnsi="Calibri"/>
          <w:sz w:val="19"/>
          <w:szCs w:val="19"/>
        </w:rPr>
        <w:t xml:space="preserve">The register of options must be maintained in the prescribed form, and the scheme must be disclosed in the Board’s report. Both are routinely omitted by companies that otherwise administer their scheme carefully.</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definition of employee, the startup relaxations and their duration, the minimum vesting period, the prescribed register and the tax deferral mechanics all change — have the scheme reviewed by a company secretary and a tax adviser before adoption, and again before any change of control.</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2026-08-21T12:53:54.239Z</dcterms:created>
  <dcterms:modified xsi:type="dcterms:W3CDTF">2026-08-21T12:53:54.239Z</dcterms:modified>
</cp:coreProperties>
</file>

<file path=docProps/custom.xml><?xml version="1.0" encoding="utf-8"?>
<Properties xmlns="http://schemas.openxmlformats.org/officeDocument/2006/custom-properties" xmlns:vt="http://schemas.openxmlformats.org/officeDocument/2006/docPropsVTypes"/>
</file>