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DUE DILIGENCE REPORT</w:t>
      </w:r>
    </w:p>
    <w:p>
      <w:pPr>
        <w:spacing w:after="260"/>
        <w:jc w:val="center"/>
      </w:pPr>
      <w:r>
        <w:rPr>
          <w:rFonts w:ascii="Calibri" w:cs="Calibri" w:eastAsia="Calibri" w:hAnsi="Calibri"/>
          <w:i/>
          <w:iCs/>
          <w:color w:val="6E7480"/>
          <w:sz w:val="19"/>
          <w:szCs w:val="19"/>
        </w:rPr>
        <w:t xml:space="preserve">Proposed investment in </w:t>
      </w:r>
      <w:r>
        <w:rPr>
          <w:rFonts w:ascii="Calibri" w:cs="Calibri" w:eastAsia="Calibri" w:hAnsi="Calibri"/>
          <w:b/>
          <w:bCs/>
          <w:i/>
          <w:iCs/>
          <w:color w:val="6E7480"/>
          <w:sz w:val="19"/>
          <w:szCs w:val="19"/>
        </w:rPr>
        <w:t xml:space="preserve">[TARGET COMPANY NAME]</w:t>
      </w:r>
    </w:p>
    <w:p>
      <w:pPr>
        <w:spacing w:after="180" w:before="0" w:line="276"/>
        <w:jc w:val="both"/>
      </w:pPr>
      <w:r>
        <w:rPr>
          <w:rFonts w:ascii="Calibri" w:cs="Calibri" w:eastAsia="Calibri" w:hAnsi="Calibri"/>
          <w:i/>
          <w:iCs/>
          <w:color w:val="6E7480"/>
          <w:sz w:val="21"/>
          <w:szCs w:val="21"/>
        </w:rPr>
        <w:t xml:space="preserve">A due diligence report is read by people deciding whether to proceed. Separate what was verified from what was represented, state what could not be examined and why, and never let a limitation on scope sit only in a covering email.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7325"/>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32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Prepared for</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[INVESTOR NAME]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Prepared by</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[FIRM NAME]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Target</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[TARGET COMPANY NAME]</w:t>
            </w:r>
            <w:r>
              <w:rPr>
                <w:rFonts w:ascii="Calibri" w:cs="Calibri" w:eastAsia="Calibri" w:hAnsi="Calibri"/>
                <w:sz w:val="19"/>
                <w:szCs w:val="19"/>
              </w:rPr>
              <w:t xml:space="preserve">, CIN </w:t>
            </w:r>
            <w:r>
              <w:rPr>
                <w:rFonts w:ascii="Calibri" w:cs="Calibri" w:eastAsia="Calibri" w:hAnsi="Calibri"/>
                <w:b/>
                <w:bCs/>
                <w:sz w:val="19"/>
                <w:szCs w:val="19"/>
              </w:rPr>
              <w:t xml:space="preserve">[CIN]</w:t>
            </w:r>
            <w:r>
              <w:rPr>
                <w:rFonts w:ascii="Calibri" w:cs="Calibri" w:eastAsia="Calibri" w:hAnsi="Calibri"/>
                <w:sz w:val="19"/>
                <w:szCs w:val="19"/>
              </w:rPr>
              <w:t xml:space="preserve">, registered office at </w:t>
            </w:r>
            <w:r>
              <w:rPr>
                <w:rFonts w:ascii="Calibri" w:cs="Calibri" w:eastAsia="Calibri" w:hAnsi="Calibri"/>
                <w:b/>
                <w:bCs/>
                <w:sz w:val="19"/>
                <w:szCs w:val="19"/>
              </w:rPr>
              <w:t xml:space="preserve">[ADDRESS]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Transaction</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 e.g. subscription to Series A compulsorily convertible preference shares for ₹ ______]</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Scope</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[Legal / financial / tax / technology / human resources]</w:t>
            </w:r>
            <w:r>
              <w:rPr>
                <w:rFonts w:ascii="Calibri" w:cs="Calibri" w:eastAsia="Calibri" w:hAnsi="Calibri"/>
                <w:sz w:val="19"/>
                <w:szCs w:val="19"/>
              </w:rPr>
              <w:t xml:space="preserve"> due diligence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Diligence period</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three financial years ended ______ and the stub period to ______; corporate and exchange control matters reviewed since inception]</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Cut-off date</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no information received after this date has been considered</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 date</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[DRAFT / FINAL]</w:t>
            </w:r>
            <w:r>
              <w:rPr>
                <w:rFonts w:ascii="Calibri" w:cs="Calibri" w:eastAsia="Calibri" w:hAnsi="Calibri"/>
                <w:sz w:val="19"/>
                <w:szCs w:val="19"/>
              </w:rPr>
              <w:t xml:space="preserve"> — </w:t>
            </w:r>
            <w:r>
              <w:rPr>
                <w:rFonts w:ascii="Calibri" w:cs="Calibri" w:eastAsia="Calibri" w:hAnsi="Calibri"/>
                <w:b/>
                <w:bCs/>
                <w:sz w:val="19"/>
                <w:szCs w:val="19"/>
              </w:rPr>
              <w:t xml:space="preserve">[VERSION NUMBER]</w:t>
            </w:r>
          </w:p>
        </w:tc>
      </w:tr>
    </w:tbl>
    <w:p>
      <w:pPr>
        <w:spacing w:after="200"/>
      </w:pPr>
    </w:p>
    <w:p>
      <w:pPr>
        <w:keepNext/>
        <w:spacing w:after="120" w:before="280"/>
        <w:outlineLvl w:val="0"/>
      </w:pPr>
      <w:r>
        <w:rPr>
          <w:rFonts w:ascii="Calibri" w:cs="Calibri" w:eastAsia="Calibri" w:hAnsi="Calibri"/>
          <w:b/>
          <w:bCs/>
          <w:color w:val="14161B"/>
          <w:sz w:val="22"/>
          <w:szCs w:val="22"/>
        </w:rPr>
        <w:t xml:space="preserve">1. BASIS OF THIS REPORT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This report has been prepared by </w:t>
      </w:r>
      <w:r>
        <w:rPr>
          <w:rFonts w:ascii="Calibri" w:cs="Calibri" w:eastAsia="Calibri" w:hAnsi="Calibri"/>
          <w:b/>
          <w:bCs/>
          <w:sz w:val="21"/>
          <w:szCs w:val="21"/>
        </w:rPr>
        <w:t xml:space="preserve">[FIRM NAME]</w:t>
      </w:r>
      <w:r>
        <w:rPr>
          <w:rFonts w:ascii="Calibri" w:cs="Calibri" w:eastAsia="Calibri" w:hAnsi="Calibri"/>
          <w:sz w:val="21"/>
          <w:szCs w:val="21"/>
        </w:rPr>
        <w:t xml:space="preserve"> for </w:t>
      </w:r>
      <w:r>
        <w:rPr>
          <w:rFonts w:ascii="Calibri" w:cs="Calibri" w:eastAsia="Calibri" w:hAnsi="Calibri"/>
          <w:b/>
          <w:bCs/>
          <w:sz w:val="21"/>
          <w:szCs w:val="21"/>
        </w:rPr>
        <w:t xml:space="preserve">[INVESTOR NAME]</w:t>
      </w:r>
      <w:r>
        <w:rPr>
          <w:rFonts w:ascii="Calibri" w:cs="Calibri" w:eastAsia="Calibri" w:hAnsi="Calibri"/>
          <w:sz w:val="21"/>
          <w:szCs w:val="21"/>
        </w:rPr>
        <w:t xml:space="preserve"> solely in connection with the proposed transaction described above. It may not be relied on by any other person, or for any other purpose, without our prior written consent.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This report is based on the documents and information listed in Annexure A, made available to us in the data room hosted at </w:t>
      </w:r>
      <w:r>
        <w:rPr>
          <w:rFonts w:ascii="Calibri" w:cs="Calibri" w:eastAsia="Calibri" w:hAnsi="Calibri"/>
          <w:b/>
          <w:bCs/>
          <w:sz w:val="21"/>
          <w:szCs w:val="21"/>
        </w:rPr>
        <w:t xml:space="preserve">[PLATFORM]</w:t>
      </w:r>
      <w:r>
        <w:rPr>
          <w:rFonts w:ascii="Calibri" w:cs="Calibri" w:eastAsia="Calibri" w:hAnsi="Calibri"/>
          <w:sz w:val="21"/>
          <w:szCs w:val="21"/>
        </w:rPr>
        <w:t xml:space="preserve"> up to the cut-off date, together with written responses to our queries and the management discussions listed in Annexure B. We have not independently verified the accuracy or completeness of the information provided and have assumed that it is true, complete and not misleading.</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We have assumed the genuineness of all signatures, the authenticity of all documents submitted as originals, and the conformity to originals of all copies. Where we have relied on searches of public records, those records are subject to delay in updating and to the accuracy of the underlying filings.</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This report addresses only the matters within the scope stated above and is limited to the laws of India. We express no opinion on the commercial merits of the transaction, on the valuation of the Target, on the accuracy of any projection, or on any matter of foreign law, accounting or actuarial practice.</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sz w:val="21"/>
          <w:szCs w:val="21"/>
        </w:rPr>
        <w:t xml:space="preserve">Our review has been conducted on a materiality threshold of ₹ </w:t>
      </w:r>
      <w:r>
        <w:rPr>
          <w:rFonts w:ascii="Calibri" w:cs="Calibri" w:eastAsia="Calibri" w:hAnsi="Calibri"/>
          <w:b/>
          <w:bCs/>
          <w:sz w:val="21"/>
          <w:szCs w:val="21"/>
        </w:rPr>
        <w:t xml:space="preserve">[AMOUNT]</w:t>
      </w:r>
      <w:r>
        <w:rPr>
          <w:rFonts w:ascii="Calibri" w:cs="Calibri" w:eastAsia="Calibri" w:hAnsi="Calibri"/>
          <w:sz w:val="21"/>
          <w:szCs w:val="21"/>
        </w:rPr>
        <w:t xml:space="preserve"> for individual items and ₹ </w:t>
      </w:r>
      <w:r>
        <w:rPr>
          <w:rFonts w:ascii="Calibri" w:cs="Calibri" w:eastAsia="Calibri" w:hAnsi="Calibri"/>
          <w:b/>
          <w:bCs/>
          <w:sz w:val="21"/>
          <w:szCs w:val="21"/>
        </w:rPr>
        <w:t xml:space="preserve">[AMOUNT]</w:t>
      </w:r>
      <w:r>
        <w:rPr>
          <w:rFonts w:ascii="Calibri" w:cs="Calibri" w:eastAsia="Calibri" w:hAnsi="Calibri"/>
          <w:sz w:val="21"/>
          <w:szCs w:val="21"/>
        </w:rPr>
        <w:t xml:space="preserve"> in aggregate, agreed with you. Matters below that threshold have not been reported unless they indicate a systemic failure.</w:t>
      </w:r>
    </w:p>
    <w:p>
      <w:pPr>
        <w:spacing w:after="120" w:before="60" w:line="276"/>
        <w:ind w:left="720" w:hanging="720"/>
        <w:jc w:val="both"/>
      </w:pPr>
      <w:r>
        <w:rPr>
          <w:rFonts w:ascii="Calibri" w:cs="Calibri" w:eastAsia="Calibri" w:hAnsi="Calibri"/>
          <w:sz w:val="21"/>
          <w:szCs w:val="21"/>
        </w:rPr>
        <w:t xml:space="preserve">1.6	</w:t>
      </w:r>
      <w:r>
        <w:rPr>
          <w:rFonts w:ascii="Calibri" w:cs="Calibri" w:eastAsia="Calibri" w:hAnsi="Calibri"/>
          <w:sz w:val="21"/>
          <w:szCs w:val="21"/>
        </w:rPr>
        <w:t xml:space="preserve">Where information requested was not provided, that fact is recorded in Annexure C. The absence of a finding in respect of an area where information was not provided should not be taken as confirmation that no issue exists.</w:t>
      </w:r>
    </w:p>
    <w:p>
      <w:pPr>
        <w:spacing w:after="120" w:before="60" w:line="276"/>
        <w:ind w:left="720" w:hanging="720"/>
        <w:jc w:val="both"/>
      </w:pPr>
      <w:r>
        <w:rPr>
          <w:rFonts w:ascii="Calibri" w:cs="Calibri" w:eastAsia="Calibri" w:hAnsi="Calibri"/>
          <w:sz w:val="21"/>
          <w:szCs w:val="21"/>
        </w:rPr>
        <w:t xml:space="preserve">1.7	</w:t>
      </w:r>
      <w:r>
        <w:rPr>
          <w:rFonts w:ascii="Calibri" w:cs="Calibri" w:eastAsia="Calibri" w:hAnsi="Calibri"/>
          <w:sz w:val="21"/>
          <w:szCs w:val="21"/>
        </w:rPr>
        <w:t xml:space="preserve">This report speaks as at the cut-off date. We assume no obligation to update it for events occurring after that date.</w:t>
      </w:r>
    </w:p>
    <w:p>
      <w:pPr>
        <w:keepNext/>
        <w:spacing w:after="120" w:before="280"/>
        <w:outlineLvl w:val="0"/>
      </w:pPr>
      <w:r>
        <w:rPr>
          <w:rFonts w:ascii="Calibri" w:cs="Calibri" w:eastAsia="Calibri" w:hAnsi="Calibri"/>
          <w:b/>
          <w:bCs/>
          <w:color w:val="14161B"/>
          <w:sz w:val="22"/>
          <w:szCs w:val="22"/>
        </w:rPr>
        <w:t xml:space="preserve">2. RISK RATING CONVENTION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060"/>
        <w:gridCol w:w="4529"/>
        <w:gridCol w:w="4049"/>
      </w:tblGrid>
      <w:tr>
        <w:trPr>
          <w:tblHeader/>
        </w:trPr>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Rating</w:t>
            </w:r>
          </w:p>
        </w:tc>
        <w:tc>
          <w:tcPr>
            <w:tcW w:type="dxa" w:w="45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Meaning</w:t>
            </w:r>
          </w:p>
        </w:tc>
        <w:tc>
          <w:tcPr>
            <w:tcW w:type="dxa" w:w="40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Recommended treatment</w:t>
            </w:r>
          </w:p>
        </w:tc>
      </w:tr>
      <w:tr>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Red</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 matter that could materially affect the value of the investment, the ability to complete, or the Target’s ability to carry on business; or a matter whose quantum cannot presently be bounded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Condition precedent, or a specific indemnity uncapped and outside the general cap; consider whether to proceed</w:t>
            </w:r>
          </w:p>
        </w:tc>
      </w:tr>
      <w:tr>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Amber</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 matter creating a quantifiable exposure or a defect capable of remedy, which should be addressed but does not threaten the transaction</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Condition precedent where remediable before completion; otherwise a specific indemnity or a price adjustment</w:t>
            </w:r>
          </w:p>
        </w:tc>
      </w:tr>
      <w:tr>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Green</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 matter noted for completeness, with no material exposure, or a housekeeping item</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Post-completion covenant or no action</w:t>
            </w:r>
          </w:p>
        </w:tc>
      </w:tr>
      <w:tr>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Grey</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Information not provided or insufficient to reach a conclusion</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Request again; escalate to Red if not provided before completion</w:t>
            </w:r>
          </w:p>
        </w:tc>
      </w:tr>
    </w:tbl>
    <w:p>
      <w:pPr>
        <w:keepNext/>
        <w:spacing w:after="120" w:before="280"/>
        <w:outlineLvl w:val="0"/>
      </w:pPr>
      <w:r>
        <w:rPr>
          <w:rFonts w:ascii="Calibri" w:cs="Calibri" w:eastAsia="Calibri" w:hAnsi="Calibri"/>
          <w:b/>
          <w:bCs/>
          <w:color w:val="14161B"/>
          <w:sz w:val="22"/>
          <w:szCs w:val="22"/>
        </w:rPr>
        <w:t xml:space="preserve">3. EXECUTIVE SUMMARY</w:t>
      </w:r>
    </w:p>
    <w:p>
      <w:pPr>
        <w:spacing w:after="140" w:before="0" w:line="276"/>
        <w:jc w:val="both"/>
      </w:pPr>
      <w:r>
        <w:rPr>
          <w:rFonts w:ascii="Calibri" w:cs="Calibri" w:eastAsia="Calibri" w:hAnsi="Calibri"/>
          <w:i/>
          <w:iCs/>
          <w:sz w:val="21"/>
          <w:szCs w:val="21"/>
        </w:rPr>
        <w:t xml:space="preserve">Write this last and write it for the investment committee. Three to five paragraphs. Lead with what would stop the deal, not with what you reviewed.</w:t>
      </w:r>
    </w:p>
    <w:p>
      <w:pPr>
        <w:spacing w:after="140" w:before="0" w:line="276"/>
        <w:jc w:val="both"/>
      </w:pPr>
      <w:r>
        <w:rPr>
          <w:rFonts w:ascii="Calibri" w:cs="Calibri" w:eastAsia="Calibri" w:hAnsi="Calibri"/>
          <w:b/>
          <w:bCs/>
          <w:sz w:val="21"/>
          <w:szCs w:val="21"/>
        </w:rPr>
        <w:t xml:space="preserve">[SUMMARISE: the overall condition of the Target; the number of findings by rating; the two or three matters that materially affect the transaction; whether they are remediable and by when; and the overall recommendation — proceed, proceed subject to the conditions precedent in Section 5, or do not proceed.]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1156"/>
        <w:gridCol w:w="1156"/>
        <w:gridCol w:w="1156"/>
        <w:gridCol w:w="1156"/>
        <w:gridCol w:w="1159"/>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Workstream</w:t>
            </w:r>
          </w:p>
        </w:tc>
        <w:tc>
          <w:tcPr>
            <w:tcW w:type="dxa" w:w="1156"/>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Red</w:t>
            </w:r>
          </w:p>
        </w:tc>
        <w:tc>
          <w:tcPr>
            <w:tcW w:type="dxa" w:w="1156"/>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Amber</w:t>
            </w:r>
          </w:p>
        </w:tc>
        <w:tc>
          <w:tcPr>
            <w:tcW w:type="dxa" w:w="1156"/>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Green</w:t>
            </w:r>
          </w:p>
        </w:tc>
        <w:tc>
          <w:tcPr>
            <w:tcW w:type="dxa" w:w="1156"/>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Grey</w:t>
            </w:r>
          </w:p>
        </w:tc>
        <w:tc>
          <w:tcPr>
            <w:tcW w:type="dxa" w:w="1159"/>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Overall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Corporate and capitalisation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[RATING]</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Financial</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[RATING]</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Taxation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[RATING]</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Employment and human resources</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[RATING]</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Intellectual property and technology</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[RATING]</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protection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[RATING]</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Contracts and commercial</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[RATING]</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Regulatory, litigation and exchange control</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[RATING]</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w:t>
            </w:r>
          </w:p>
        </w:tc>
        <w:tc>
          <w:tcPr>
            <w:tcW w:type="dxa" w:w="1159"/>
            <w:tcMar>
              <w:top w:type="dxa" w:w="70"/>
              <w:left w:type="dxa" w:w="100"/>
              <w:bottom w:type="dxa" w:w="70"/>
              <w:right w:type="dxa" w:w="100"/>
            </w:tcMar>
            <w:vAlign w:val="center"/>
          </w:tcPr>
          <w:p>
            <w:pPr>
              <w:spacing w:after="0" w:line="240"/>
              <w:jc w:val="center"/>
            </w:pP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4. FINDINGS REGISTER</w:t>
      </w:r>
    </w:p>
    <w:p>
      <w:pPr>
        <w:spacing w:after="260"/>
        <w:jc w:val="center"/>
      </w:pPr>
      <w:r>
        <w:rPr>
          <w:rFonts w:ascii="Calibri" w:cs="Calibri" w:eastAsia="Calibri" w:hAnsi="Calibri"/>
          <w:i/>
          <w:iCs/>
          <w:color w:val="6E7480"/>
          <w:sz w:val="19"/>
          <w:szCs w:val="19"/>
        </w:rPr>
        <w:t xml:space="preserve">Every finding, with its basis, exposure and recommended treatment</w:t>
      </w:r>
    </w:p>
    <w:p>
      <w:pPr>
        <w:spacing w:after="140" w:before="0" w:line="276"/>
        <w:jc w:val="both"/>
      </w:pPr>
      <w:r>
        <w:rPr>
          <w:rFonts w:ascii="Calibri" w:cs="Calibri" w:eastAsia="Calibri" w:hAnsi="Calibri"/>
          <w:i/>
          <w:iCs/>
          <w:sz w:val="21"/>
          <w:szCs w:val="21"/>
        </w:rPr>
        <w:t xml:space="preserve">One row per finding. Do not merge findings. The Exposure column should carry a number wherever a number can be estimated, and the word "unquantified" where it cannot — never leave it blank.</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751"/>
        <w:gridCol w:w="1203"/>
        <w:gridCol w:w="3308"/>
        <w:gridCol w:w="1804"/>
        <w:gridCol w:w="3007"/>
        <w:gridCol w:w="1203"/>
        <w:gridCol w:w="902"/>
        <w:gridCol w:w="2860"/>
      </w:tblGrid>
      <w:tr>
        <w:trPr>
          <w:tblHeader/>
        </w:trPr>
        <w:tc>
          <w:tcPr>
            <w:tcW w:type="dxa" w:w="7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Ref</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Area</w:t>
            </w:r>
          </w:p>
        </w:tc>
        <w:tc>
          <w:tcPr>
            <w:tcW w:type="dxa" w:w="33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Finding</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Basis / document reviewed</w:t>
            </w:r>
          </w:p>
        </w:tc>
        <w:tc>
          <w:tcPr>
            <w:tcW w:type="dxa" w:w="30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Legal or contractual consequence</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Exposure (₹)</w:t>
            </w:r>
          </w:p>
        </w:tc>
        <w:tc>
          <w:tcPr>
            <w:tcW w:type="dxa" w:w="9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Rating</w:t>
            </w:r>
          </w:p>
        </w:tc>
        <w:tc>
          <w:tcPr>
            <w:tcW w:type="dxa" w:w="28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Recommended treatment</w:t>
            </w:r>
          </w:p>
        </w:tc>
      </w:tr>
      <w:t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C-01</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Corporate</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[e.g. Return of allotment for the allotment of ______ shares dated ______ was filed ______ days beyond the prescribed period]</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[Form PAS-3 and challan]</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[Additional fee and potential penalty; the allotment itself is not invalidated]</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[Amber]</w:t>
            </w:r>
          </w:p>
        </w:tc>
        <w:tc>
          <w:tcPr>
            <w:tcW w:type="dxa" w:w="28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[Regularise before completion; obtain a certificate of no pending proceeding]</w:t>
            </w:r>
          </w:p>
        </w:tc>
      </w:tr>
      <w:t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C-02</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Capitalisation</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[e.g. The capitalisation table does not reconcile to the register of members in respect of ______ shares]</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[Register of members; cap table]</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[Uncertainty as to legal title; the Investor’s post-completion percentage may differ from that agreed]</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[Unquantified]</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[Red]</w:t>
            </w:r>
          </w:p>
        </w:tc>
        <w:tc>
          <w:tcPr>
            <w:tcW w:type="dxa" w:w="28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[Condition precedent — full reconciliation and rectification of the register]</w:t>
            </w:r>
          </w:p>
        </w:tc>
      </w:tr>
      <w:t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T-01</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Tax</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[e.g. Input tax credit of ______ availed on invoices from suppliers who have not filed returns]</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[Credit ledger reconciliation]</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[Credit liable to be reversed with interest]</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[Amber]</w:t>
            </w:r>
          </w:p>
        </w:tc>
        <w:tc>
          <w:tcPr>
            <w:tcW w:type="dxa" w:w="28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[Specific indemnity, outside the general cap, for the assessment period]</w:t>
            </w:r>
          </w:p>
        </w:tc>
      </w:tr>
      <w:t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T-02</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Tax</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[e.g. Short deduction of tax at source on ______ payments]</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[Withholding returns; ledger]</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[Interest, penalty and disallowance of the corresponding expenditure]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[Amber]</w:t>
            </w:r>
          </w:p>
        </w:tc>
        <w:tc>
          <w:tcPr>
            <w:tcW w:type="dxa" w:w="28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[Specific indemnity]</w:t>
            </w:r>
          </w:p>
        </w:tc>
      </w:tr>
      <w:t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E-01</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Employment</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[e.g. ______ individuals engaged as consultants exhibit the characteristics of employment]</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[Consultancy agreements; attendance and appraisal records]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[Retrospective social security contributions, interest and penalty; potential claim for terminal benefits]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[Red]</w:t>
            </w:r>
          </w:p>
        </w:tc>
        <w:tc>
          <w:tcPr>
            <w:tcW w:type="dxa" w:w="28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[Specific indemnity uncapped; regularisation plan as a post-completion covenant]</w:t>
            </w:r>
          </w:p>
        </w:tc>
      </w:tr>
      <w:t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E-02</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Employment</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[e.g. Salary structure does not meet the statutory composition requirement for ______ employees]</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[Payroll register; salary structures]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[Recomputation of contributions and terminal benefits]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[Amber]</w:t>
            </w:r>
          </w:p>
        </w:tc>
        <w:tc>
          <w:tcPr>
            <w:tcW w:type="dxa" w:w="28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[Specific indemnity; restructure payroll within ______ days of completion]</w:t>
            </w:r>
          </w:p>
        </w:tc>
      </w:tr>
      <w:t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I-01</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IP</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[e.g. No assignment of intellectual property obtained from ______, a contractor who developed ______]</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[Contractor list; contracts]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[The contractor retains copyright in the work; the Target has at best an implied licence]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[Unquantified]</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[Red]</w:t>
            </w:r>
          </w:p>
        </w:tc>
        <w:tc>
          <w:tcPr>
            <w:tcW w:type="dxa" w:w="28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[Condition precedent — obtain executed assignment before completion]</w:t>
            </w:r>
          </w:p>
        </w:tc>
      </w:tr>
      <w:t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I-02</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IP</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[e.g. Domain name ______ is registered in the personal name of ______]</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[Registrar records]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[The Target does not own an asset material to its business]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[Unquantified]</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[Red]</w:t>
            </w:r>
          </w:p>
        </w:tc>
        <w:tc>
          <w:tcPr>
            <w:tcW w:type="dxa" w:w="28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[Condition precedent — transfer to the Target]</w:t>
            </w:r>
          </w:p>
        </w:tc>
      </w:tr>
      <w:t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I-03</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IP</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[e.g. Copyleft-licensed component ______ is linked into the proprietary codebase]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[Bill of materials]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[Arguable obligation to make the combined work available on the same licence terms]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[Unquantified]</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[Amber]</w:t>
            </w:r>
          </w:p>
        </w:tc>
        <w:tc>
          <w:tcPr>
            <w:tcW w:type="dxa" w:w="28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[Remediation plan; warranty and specific indemnity]</w:t>
            </w:r>
          </w:p>
        </w:tc>
      </w:tr>
      <w:t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D-01</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Data protection</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[e.g. No written processing agreement in place with ______ processors]</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[Vendor list; contracts]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[Non-compliance with the statutory requirement for a processor contract; exposure to penalty]</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[Unquantified]</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[Amber]</w:t>
            </w:r>
          </w:p>
        </w:tc>
        <w:tc>
          <w:tcPr>
            <w:tcW w:type="dxa" w:w="28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[Post-completion covenant with a fixed deadline]</w:t>
            </w:r>
          </w:p>
        </w:tc>
      </w:tr>
      <w:t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R-01</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Exchange control</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[e.g. Form ______ in respect of the allotment dated ______ filed beyond the prescribed period]</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[FIRMS portal acknowledgement]</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[Contravention requiring compounding; late submission fee]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[Amber]</w:t>
            </w:r>
          </w:p>
        </w:tc>
        <w:tc>
          <w:tcPr>
            <w:tcW w:type="dxa" w:w="28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[Condition precedent — apply for compounding or pay the late submission fee]</w:t>
            </w:r>
          </w:p>
        </w:tc>
      </w:tr>
      <w:t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L-01</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Litigation</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[e.g. Statutory demand notice received from ______ in respect of ______]</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[Notice dated ______]</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[Potential proceedings; quantum as claimed]</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[Amber]</w:t>
            </w:r>
          </w:p>
        </w:tc>
        <w:tc>
          <w:tcPr>
            <w:tcW w:type="dxa" w:w="28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[Specific indemnity; conduct of claim reserved to the Founders]</w:t>
            </w:r>
          </w:p>
        </w:tc>
      </w:tr>
      <w:t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[REF]</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[AREA]</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[FINDING]</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[BASIS]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[CONSEQUENCE]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[RATING]</w:t>
            </w:r>
          </w:p>
        </w:tc>
        <w:tc>
          <w:tcPr>
            <w:tcW w:type="dxa" w:w="28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[TREATMENT]</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spacing w:after="60" w:before="240"/>
        <w:jc w:val="center"/>
      </w:pPr>
      <w:r>
        <w:rPr>
          <w:rFonts w:ascii="Calibri" w:cs="Calibri" w:eastAsia="Calibri" w:hAnsi="Calibri"/>
          <w:b/>
          <w:bCs/>
          <w:color w:val="14161B"/>
          <w:spacing w:val="12"/>
          <w:sz w:val="28"/>
          <w:szCs w:val="28"/>
        </w:rPr>
        <w:t xml:space="preserve">5. RECOMMENDED TRANSACTION PROTECTIONS</w:t>
      </w:r>
    </w:p>
    <w:p>
      <w:pPr>
        <w:spacing w:after="260"/>
        <w:jc w:val="center"/>
      </w:pPr>
      <w:r>
        <w:rPr>
          <w:rFonts w:ascii="Calibri" w:cs="Calibri" w:eastAsia="Calibri" w:hAnsi="Calibri"/>
          <w:i/>
          <w:iCs/>
          <w:color w:val="6E7480"/>
          <w:sz w:val="19"/>
          <w:szCs w:val="19"/>
        </w:rPr>
        <w:t xml:space="preserve">Mapping findings to documents</w:t>
      </w:r>
    </w:p>
    <w:p>
      <w:pPr>
        <w:keepNext/>
        <w:spacing w:after="100" w:before="200"/>
        <w:outlineLvl w:val="1"/>
      </w:pPr>
      <w:r>
        <w:rPr>
          <w:rFonts w:ascii="Calibri" w:cs="Calibri" w:eastAsia="Calibri" w:hAnsi="Calibri"/>
          <w:b/>
          <w:bCs/>
          <w:color w:val="14161B"/>
          <w:sz w:val="21"/>
          <w:szCs w:val="21"/>
        </w:rPr>
        <w:t xml:space="preserve">5.1 Conditions precedent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1156"/>
        <w:gridCol w:w="4240"/>
        <w:gridCol w:w="1445"/>
        <w:gridCol w:w="2316"/>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Finding ref</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Condition to be satisfied before completion</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Responsibility</w:t>
            </w:r>
          </w:p>
        </w:tc>
        <w:tc>
          <w:tcPr>
            <w:tcW w:type="dxa" w:w="231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Evidence required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[CONDITION]</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[Target / Founders]</w:t>
            </w:r>
          </w:p>
        </w:tc>
        <w:tc>
          <w:tcPr>
            <w:tcW w:type="dxa" w:w="231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[EVIDENCE]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[CONDITION]</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[Target / Founders]</w:t>
            </w:r>
          </w:p>
        </w:tc>
        <w:tc>
          <w:tcPr>
            <w:tcW w:type="dxa" w:w="231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[EVIDENCE]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[CONDITION]</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[Target / Founders]</w:t>
            </w:r>
          </w:p>
        </w:tc>
        <w:tc>
          <w:tcPr>
            <w:tcW w:type="dxa" w:w="231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[EVIDENCE]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[CONDITION]</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[Target / Founders]</w:t>
            </w:r>
          </w:p>
        </w:tc>
        <w:tc>
          <w:tcPr>
            <w:tcW w:type="dxa" w:w="231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[EVIDENCE]</w:t>
            </w:r>
          </w:p>
        </w:tc>
      </w:tr>
    </w:tbl>
    <w:p>
      <w:pPr>
        <w:spacing w:after="160"/>
      </w:pPr>
    </w:p>
    <w:p>
      <w:pPr>
        <w:keepNext/>
        <w:spacing w:after="100" w:before="200"/>
        <w:outlineLvl w:val="1"/>
      </w:pPr>
      <w:r>
        <w:rPr>
          <w:rFonts w:ascii="Calibri" w:cs="Calibri" w:eastAsia="Calibri" w:hAnsi="Calibri"/>
          <w:b/>
          <w:bCs/>
          <w:color w:val="14161B"/>
          <w:sz w:val="21"/>
          <w:szCs w:val="21"/>
        </w:rPr>
        <w:t xml:space="preserve">5.2 Specific indemnities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1156"/>
        <w:gridCol w:w="3855"/>
        <w:gridCol w:w="1638"/>
        <w:gridCol w:w="1349"/>
        <w:gridCol w:w="1159"/>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Finding ref</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Matter to be indemnified</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Estimated exposure (₹)</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Cap</w:t>
            </w:r>
          </w:p>
        </w:tc>
        <w:tc>
          <w:tcPr>
            <w:tcW w:type="dxa" w:w="115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Survival period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[MATTER]</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[Outside the general cap]</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[MATTER]</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[Outside the general cap]</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[MATTER]</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[Within the general cap]</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r>
    </w:tbl>
    <w:p>
      <w:pPr>
        <w:spacing w:after="160"/>
      </w:pPr>
    </w:p>
    <w:p>
      <w:pPr>
        <w:keepNext/>
        <w:spacing w:after="100" w:before="200"/>
        <w:outlineLvl w:val="1"/>
      </w:pPr>
      <w:r>
        <w:rPr>
          <w:rFonts w:ascii="Calibri" w:cs="Calibri" w:eastAsia="Calibri" w:hAnsi="Calibri"/>
          <w:b/>
          <w:bCs/>
          <w:color w:val="14161B"/>
          <w:sz w:val="21"/>
          <w:szCs w:val="21"/>
        </w:rPr>
        <w:t xml:space="preserve">5.3 Additional or tightened warranties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1252"/>
        <w:gridCol w:w="4240"/>
        <w:gridCol w:w="3665"/>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Finding ref</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Warranty to be added or tightened</w:t>
            </w:r>
          </w:p>
        </w:tc>
        <w:tc>
          <w:tcPr>
            <w:tcW w:type="dxa" w:w="366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Rationale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[WARRANTY]</w:t>
            </w:r>
          </w:p>
        </w:tc>
        <w:tc>
          <w:tcPr>
            <w:tcW w:type="dxa" w:w="366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[RATIONALE]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[WARRANTY]</w:t>
            </w:r>
          </w:p>
        </w:tc>
        <w:tc>
          <w:tcPr>
            <w:tcW w:type="dxa" w:w="366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[RATIONALE]</w:t>
            </w:r>
          </w:p>
        </w:tc>
      </w:tr>
    </w:tbl>
    <w:p>
      <w:pPr>
        <w:spacing w:after="160"/>
      </w:pPr>
    </w:p>
    <w:p>
      <w:pPr>
        <w:keepNext/>
        <w:spacing w:after="100" w:before="200"/>
        <w:outlineLvl w:val="1"/>
      </w:pPr>
      <w:r>
        <w:rPr>
          <w:rFonts w:ascii="Calibri" w:cs="Calibri" w:eastAsia="Calibri" w:hAnsi="Calibri"/>
          <w:b/>
          <w:bCs/>
          <w:color w:val="14161B"/>
          <w:sz w:val="21"/>
          <w:szCs w:val="21"/>
        </w:rPr>
        <w:t xml:space="preserve">5.4 Post-completion covenants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1252"/>
        <w:gridCol w:w="3662"/>
        <w:gridCol w:w="1542"/>
        <w:gridCol w:w="2701"/>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Finding ref</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Covenant</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Deadline</w:t>
            </w:r>
          </w:p>
        </w:tc>
        <w:tc>
          <w:tcPr>
            <w:tcW w:type="dxa" w:w="270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Consequence of failure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[COVENANT]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[DAYS AFTER COMPLETION]</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indemnity trigger / reserved matter consent withheld]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[COVENANT]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[DAYS]</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[CONSEQUENCE]</w:t>
            </w:r>
          </w:p>
        </w:tc>
      </w:tr>
    </w:tbl>
    <w:p>
      <w:pPr>
        <w:spacing w:after="160"/>
      </w:pPr>
    </w:p>
    <w:p>
      <w:pPr>
        <w:keepNext/>
        <w:spacing w:after="100" w:before="200"/>
        <w:outlineLvl w:val="1"/>
      </w:pPr>
      <w:r>
        <w:rPr>
          <w:rFonts w:ascii="Calibri" w:cs="Calibri" w:eastAsia="Calibri" w:hAnsi="Calibri"/>
          <w:b/>
          <w:bCs/>
          <w:color w:val="14161B"/>
          <w:sz w:val="21"/>
          <w:szCs w:val="21"/>
        </w:rPr>
        <w:t xml:space="preserve">5.5 Price and structure</w:t>
      </w:r>
    </w:p>
    <w:p>
      <w:pPr>
        <w:spacing w:after="140" w:before="0" w:line="276"/>
        <w:jc w:val="both"/>
      </w:pPr>
      <w:r>
        <w:rPr>
          <w:rFonts w:ascii="Calibri" w:cs="Calibri" w:eastAsia="Calibri" w:hAnsi="Calibri"/>
          <w:b/>
          <w:bCs/>
          <w:sz w:val="21"/>
          <w:szCs w:val="21"/>
        </w:rPr>
        <w:t xml:space="preserve">[STATE whether any finding warrants a price adjustment, an escrow or holdback, a change of instrument, or a restructuring of the transaction, and quantify it. If none, say so expressly.]</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Documents Reviewed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5204"/>
        <w:gridCol w:w="1542"/>
        <w:gridCol w:w="2314"/>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52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Document</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31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Data room reference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[DOCUMENT]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[DOCUMENT]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[DOCUMENT]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r>
    </w:tbl>
    <w:p>
      <w:pPr>
        <w:spacing w:after="18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Management Discussions and Searches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156"/>
        <w:gridCol w:w="2891"/>
        <w:gridCol w:w="2891"/>
        <w:gridCol w:w="2700"/>
      </w:tblGrid>
      <w:tr>
        <w:trPr>
          <w:tblHeader/>
        </w:trPr>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Participants</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Subject</w:t>
            </w:r>
          </w:p>
        </w:tc>
        <w:tc>
          <w:tcPr>
            <w:tcW w:type="dxa" w:w="27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Record</w:t>
            </w:r>
          </w:p>
        </w:tc>
      </w:tr>
      <w:tr>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 AND ROLES]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[SUBJECT]</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 circulated ______ / not recorded]</w:t>
            </w:r>
          </w:p>
        </w:tc>
      </w:tr>
      <w:tr>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[SUBJECT]</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[RECORD]</w:t>
            </w:r>
          </w:p>
        </w:tc>
      </w:tr>
    </w:tbl>
    <w:p>
      <w:pPr>
        <w:spacing w:after="14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2120"/>
        <w:gridCol w:w="1542"/>
        <w:gridCol w:w="2314"/>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Search or public record</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 of search</w:t>
            </w:r>
          </w:p>
        </w:tc>
        <w:tc>
          <w:tcPr>
            <w:tcW w:type="dxa" w:w="231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Result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Registrar of Companies master data and filed forms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[RESULT]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 of charges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[RESULT]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Litigation search — courts and tribunals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[RESULT]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Insolvency search</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[RESULT]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Intellectual property registry search</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[RESULT]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Goods and services tax portal status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[RESULT]</w:t>
            </w:r>
          </w:p>
        </w:tc>
      </w:tr>
    </w:tbl>
    <w:p>
      <w:pPr>
        <w:spacing w:after="180"/>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Information Not Provided</w:t>
      </w:r>
    </w:p>
    <w:p>
      <w:pPr>
        <w:spacing w:after="120" w:before="0" w:line="276"/>
        <w:jc w:val="both"/>
      </w:pPr>
      <w:r>
        <w:rPr>
          <w:rFonts w:ascii="Calibri" w:cs="Calibri" w:eastAsia="Calibri" w:hAnsi="Calibri"/>
          <w:i/>
          <w:iCs/>
          <w:sz w:val="21"/>
          <w:szCs w:val="21"/>
        </w:rPr>
        <w:t xml:space="preserve">The most important annexure in the report. Every item requested and not supplied, with the date of the last chase. An empty finding in an area covered by this annexure is not a clean finding.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1060"/>
        <w:gridCol w:w="2505"/>
        <w:gridCol w:w="1156"/>
        <w:gridCol w:w="1060"/>
        <w:gridCol w:w="1445"/>
        <w:gridCol w:w="1931"/>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Checklist ref</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Information requested</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 requested</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Last chased</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Target’s response</w:t>
            </w:r>
          </w:p>
        </w:tc>
        <w:tc>
          <w:tcPr>
            <w:tcW w:type="dxa" w:w="193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Impact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[INFORMATION]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[RESPONSE OR "none"]</w:t>
            </w:r>
          </w:p>
        </w:tc>
        <w:tc>
          <w:tcPr>
            <w:tcW w:type="dxa" w:w="193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[Scope limitation — no conclusion reached on ______]</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[INFORMATION]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[RESPONSE]</w:t>
            </w:r>
          </w:p>
        </w:tc>
        <w:tc>
          <w:tcPr>
            <w:tcW w:type="dxa" w:w="193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[IMPACT]</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Write the summary for the decision, not for the file</w:t>
      </w:r>
    </w:p>
    <w:p>
      <w:pPr>
        <w:spacing w:after="60" w:line="264"/>
        <w:jc w:val="both"/>
      </w:pPr>
      <w:r>
        <w:rPr>
          <w:rFonts w:ascii="Calibri" w:cs="Calibri" w:eastAsia="Calibri" w:hAnsi="Calibri"/>
          <w:sz w:val="19"/>
          <w:szCs w:val="19"/>
        </w:rPr>
        <w:t xml:space="preserve">An investment committee reads the first page. Lead with the two or three findings that change the deal, say whether they are fixable and by when, and give a recommendation. The findings register is the evidence; the summary is the advice. A report that opens with a description of the scope has buried the point.</w:t>
      </w:r>
    </w:p>
    <w:p>
      <w:pPr>
        <w:keepNext/>
        <w:spacing w:after="40" w:before="140"/>
      </w:pPr>
      <w:r>
        <w:rPr>
          <w:rFonts w:ascii="Calibri" w:cs="Calibri" w:eastAsia="Calibri" w:hAnsi="Calibri"/>
          <w:b/>
          <w:bCs/>
          <w:color w:val="14161B"/>
          <w:sz w:val="20"/>
          <w:szCs w:val="20"/>
        </w:rPr>
        <w:t xml:space="preserve">Quantify or say you cannot</w:t>
      </w:r>
    </w:p>
    <w:p>
      <w:pPr>
        <w:spacing w:after="60" w:line="264"/>
        <w:jc w:val="both"/>
      </w:pPr>
      <w:r>
        <w:rPr>
          <w:rFonts w:ascii="Calibri" w:cs="Calibri" w:eastAsia="Calibri" w:hAnsi="Calibri"/>
          <w:sz w:val="19"/>
          <w:szCs w:val="19"/>
        </w:rPr>
        <w:t xml:space="preserve">Every finding should carry a number or the word "unquantified". A blank exposure column is read as zero by whoever prices the deal, which is how a Red finding becomes a warranty rather than a condition precedent. Where the exposure genuinely cannot be bounded — an intellectual property title defect, for example — that is itself the reason it must be a condition precedent rather than an indemnity.</w:t>
      </w:r>
    </w:p>
    <w:p>
      <w:pPr>
        <w:keepNext/>
        <w:spacing w:after="40" w:before="140"/>
      </w:pPr>
      <w:r>
        <w:rPr>
          <w:rFonts w:ascii="Calibri" w:cs="Calibri" w:eastAsia="Calibri" w:hAnsi="Calibri"/>
          <w:b/>
          <w:bCs/>
          <w:color w:val="14161B"/>
          <w:sz w:val="20"/>
          <w:szCs w:val="20"/>
        </w:rPr>
        <w:t xml:space="preserve">Section 5 is what the report is for</w:t>
      </w:r>
    </w:p>
    <w:p>
      <w:pPr>
        <w:spacing w:after="60" w:line="264"/>
        <w:jc w:val="both"/>
      </w:pPr>
      <w:r>
        <w:rPr>
          <w:rFonts w:ascii="Calibri" w:cs="Calibri" w:eastAsia="Calibri" w:hAnsi="Calibri"/>
          <w:sz w:val="19"/>
          <w:szCs w:val="19"/>
        </w:rPr>
        <w:t xml:space="preserve">A findings register that does not map to conditions precedent, indemnities, warranties and covenants leaves the lawyers drafting the transaction documents to make the risk allocation decisions themselves. Do the mapping in the report, with the finding reference against each item, so the subscription agreement can be drafted straight from Section 5.</w:t>
      </w:r>
    </w:p>
    <w:p>
      <w:pPr>
        <w:keepNext/>
        <w:spacing w:after="40" w:before="140"/>
      </w:pPr>
      <w:r>
        <w:rPr>
          <w:rFonts w:ascii="Calibri" w:cs="Calibri" w:eastAsia="Calibri" w:hAnsi="Calibri"/>
          <w:b/>
          <w:bCs/>
          <w:color w:val="14161B"/>
          <w:sz w:val="20"/>
          <w:szCs w:val="20"/>
        </w:rPr>
        <w:t xml:space="preserve">Annexure C protects everyone</w:t>
      </w:r>
    </w:p>
    <w:p>
      <w:pPr>
        <w:spacing w:after="60" w:line="264"/>
        <w:jc w:val="both"/>
      </w:pPr>
      <w:r>
        <w:rPr>
          <w:rFonts w:ascii="Calibri" w:cs="Calibri" w:eastAsia="Calibri" w:hAnsi="Calibri"/>
          <w:sz w:val="19"/>
          <w:szCs w:val="19"/>
        </w:rPr>
        <w:t xml:space="preserve">Recording what was asked for and never supplied does three things: it prevents the report from being read as a clean bill of health in an area never reviewed, it gives the investor a basis to make delivery a condition precedent, and it protects the adviser. Chase in writing and record the chase dates.</w:t>
      </w:r>
    </w:p>
    <w:p>
      <w:pPr>
        <w:keepNext/>
        <w:spacing w:after="40" w:before="140"/>
      </w:pPr>
      <w:r>
        <w:rPr>
          <w:rFonts w:ascii="Calibri" w:cs="Calibri" w:eastAsia="Calibri" w:hAnsi="Calibri"/>
          <w:b/>
          <w:bCs/>
          <w:color w:val="14161B"/>
          <w:sz w:val="20"/>
          <w:szCs w:val="20"/>
        </w:rPr>
        <w:t xml:space="preserve">Reliance and addressees</w:t>
      </w:r>
    </w:p>
    <w:p>
      <w:pPr>
        <w:spacing w:after="60" w:line="264"/>
        <w:jc w:val="both"/>
      </w:pPr>
      <w:r>
        <w:rPr>
          <w:rFonts w:ascii="Calibri" w:cs="Calibri" w:eastAsia="Calibri" w:hAnsi="Calibri"/>
          <w:sz w:val="19"/>
          <w:szCs w:val="19"/>
        </w:rPr>
        <w:t xml:space="preserve">Clause 1.1 restricts reliance. Where a co-investor, a lender or a fund’s limited partners will want to rely, deal with it by way of a reliance letter with its own liability cap rather than by widening the addressee list. Where the target will see the report, agree in advance whether it sees the full report or a redacted version.</w:t>
      </w:r>
    </w:p>
    <w:p>
      <w:pPr>
        <w:keepNext/>
        <w:spacing w:after="40" w:before="140"/>
      </w:pPr>
      <w:r>
        <w:rPr>
          <w:rFonts w:ascii="Calibri" w:cs="Calibri" w:eastAsia="Calibri" w:hAnsi="Calibri"/>
          <w:b/>
          <w:bCs/>
          <w:color w:val="14161B"/>
          <w:sz w:val="20"/>
          <w:szCs w:val="20"/>
        </w:rPr>
        <w:t xml:space="preserve">Materiality thresholds should be agreed in writing</w:t>
      </w:r>
    </w:p>
    <w:p>
      <w:pPr>
        <w:spacing w:after="60" w:line="264"/>
        <w:jc w:val="both"/>
      </w:pPr>
      <w:r>
        <w:rPr>
          <w:rFonts w:ascii="Calibri" w:cs="Calibri" w:eastAsia="Calibri" w:hAnsi="Calibri"/>
          <w:sz w:val="19"/>
          <w:szCs w:val="19"/>
        </w:rPr>
        <w:t xml:space="preserve">Clause 1.5 records the threshold. Agree it with the client before starting, not in the report. A threshold set too low produces a register nobody reads; set too high, it misses a pattern of small failures that together indicate that nobody is minding the compliance function.</w:t>
      </w:r>
    </w:p>
    <w:p>
      <w:pPr>
        <w:keepNext/>
        <w:spacing w:after="40" w:before="140"/>
      </w:pPr>
      <w:r>
        <w:rPr>
          <w:rFonts w:ascii="Calibri" w:cs="Calibri" w:eastAsia="Calibri" w:hAnsi="Calibri"/>
          <w:b/>
          <w:bCs/>
          <w:color w:val="14161B"/>
          <w:sz w:val="20"/>
          <w:szCs w:val="20"/>
        </w:rPr>
        <w:t xml:space="preserve">Patterns matter more than items</w:t>
      </w:r>
    </w:p>
    <w:p>
      <w:pPr>
        <w:spacing w:after="60" w:line="264"/>
        <w:jc w:val="both"/>
      </w:pPr>
      <w:r>
        <w:rPr>
          <w:rFonts w:ascii="Calibri" w:cs="Calibri" w:eastAsia="Calibri" w:hAnsi="Calibri"/>
          <w:sz w:val="19"/>
          <w:szCs w:val="19"/>
        </w:rPr>
        <w:t xml:space="preserve">Three late filings is a housekeeping item. Thirty late filings is a finding about management. Where individual items fall below the materiality threshold but together show a systemic failure, report the pattern as a single finding and rate it on the pattern, not on the individual amounts.</w:t>
      </w:r>
    </w:p>
    <w:p>
      <w:pPr>
        <w:keepNext/>
        <w:spacing w:after="40" w:before="140"/>
      </w:pPr>
      <w:r>
        <w:rPr>
          <w:rFonts w:ascii="Calibri" w:cs="Calibri" w:eastAsia="Calibri" w:hAnsi="Calibri"/>
          <w:b/>
          <w:bCs/>
          <w:color w:val="14161B"/>
          <w:sz w:val="20"/>
          <w:szCs w:val="20"/>
        </w:rPr>
        <w:t xml:space="preserve">Corporate and exchange control go back to inception</w:t>
      </w:r>
    </w:p>
    <w:p>
      <w:pPr>
        <w:spacing w:after="60" w:line="264"/>
        <w:jc w:val="both"/>
      </w:pPr>
      <w:r>
        <w:rPr>
          <w:rFonts w:ascii="Calibri" w:cs="Calibri" w:eastAsia="Calibri" w:hAnsi="Calibri"/>
          <w:sz w:val="19"/>
          <w:szCs w:val="19"/>
        </w:rPr>
        <w:t xml:space="preserve">A defect in the first allotment, an unstamped early share certificate, or an unreported foreign investment from three rounds ago does not age out. Scope those workstreams from incorporation even where the financial scope is three years, and say so in Clause 1 so nobody assumes otherwise.</w:t>
      </w:r>
    </w:p>
    <w:p>
      <w:pPr>
        <w:keepNext/>
        <w:spacing w:after="40" w:before="140"/>
      </w:pPr>
      <w:r>
        <w:rPr>
          <w:rFonts w:ascii="Calibri" w:cs="Calibri" w:eastAsia="Calibri" w:hAnsi="Calibri"/>
          <w:b/>
          <w:bCs/>
          <w:color w:val="14161B"/>
          <w:sz w:val="20"/>
          <w:szCs w:val="20"/>
        </w:rPr>
        <w:t xml:space="preserve">Red does not mean stop</w:t>
      </w:r>
    </w:p>
    <w:p>
      <w:pPr>
        <w:spacing w:after="60" w:line="264"/>
        <w:jc w:val="both"/>
      </w:pPr>
      <w:r>
        <w:rPr>
          <w:rFonts w:ascii="Calibri" w:cs="Calibri" w:eastAsia="Calibri" w:hAnsi="Calibri"/>
          <w:sz w:val="19"/>
          <w:szCs w:val="19"/>
        </w:rPr>
        <w:t xml:space="preserve">It means the matter must be resolved before money moves, or priced. Most Red findings in an early-stage diligence — an unassigned contractor, a domain in a personal name, a cap table that does not reconcile — are entirely fixable in two weeks. The error is treating them as warranty matters and discovering at exit that they were never fixed.</w:t>
      </w:r>
    </w:p>
    <w:p>
      <w:pPr>
        <w:keepNext/>
        <w:spacing w:after="40" w:before="140"/>
      </w:pPr>
      <w:r>
        <w:rPr>
          <w:rFonts w:ascii="Calibri" w:cs="Calibri" w:eastAsia="Calibri" w:hAnsi="Calibri"/>
          <w:b/>
          <w:bCs/>
          <w:color w:val="14161B"/>
          <w:sz w:val="20"/>
          <w:szCs w:val="20"/>
        </w:rPr>
        <w:t xml:space="preserve">Keep the register live</w:t>
      </w:r>
    </w:p>
    <w:p>
      <w:pPr>
        <w:spacing w:after="60" w:line="264"/>
        <w:jc w:val="both"/>
      </w:pPr>
      <w:r>
        <w:rPr>
          <w:rFonts w:ascii="Calibri" w:cs="Calibri" w:eastAsia="Calibri" w:hAnsi="Calibri"/>
          <w:sz w:val="19"/>
          <w:szCs w:val="19"/>
        </w:rPr>
        <w:t xml:space="preserve">The findings register should become the tracker for condition precedent satisfaction, with the status updated as items close. Reissue it at completion showing what was resolved and what carried through into the transaction documents, so the investor has a single record.</w:t>
      </w:r>
    </w:p>
    <w:p>
      <w:pPr>
        <w:keepNext/>
        <w:spacing w:after="40" w:before="140"/>
      </w:pPr>
      <w:r>
        <w:rPr>
          <w:rFonts w:ascii="Calibri" w:cs="Calibri" w:eastAsia="Calibri" w:hAnsi="Calibri"/>
          <w:b/>
          <w:bCs/>
          <w:color w:val="14161B"/>
          <w:sz w:val="20"/>
          <w:szCs w:val="20"/>
        </w:rPr>
        <w:t xml:space="preserve">Version control and the cut-off date</w:t>
      </w:r>
    </w:p>
    <w:p>
      <w:pPr>
        <w:spacing w:after="60" w:line="264"/>
        <w:jc w:val="both"/>
      </w:pPr>
      <w:r>
        <w:rPr>
          <w:rFonts w:ascii="Calibri" w:cs="Calibri" w:eastAsia="Calibri" w:hAnsi="Calibri"/>
          <w:sz w:val="19"/>
          <w:szCs w:val="19"/>
        </w:rPr>
        <w:t xml:space="preserve">State the cut-off date and hold to it. A report that quietly absorbs documents received after the cut-off, without re-dating, creates ambiguity about what was reviewed. If material information arrives late, issue a supplement rather than editing the report.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This template reflects Indian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Adapt the workstreams to the target — a regulated business, a company with overseas subsidiaries, or a business holding immovable property will each need substantial additional sections.</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2026-08-21T12:53:53.483Z</dcterms:created>
  <dcterms:modified xsi:type="dcterms:W3CDTF">2026-08-21T12:53:53.483Z</dcterms:modified>
</cp:coreProperties>
</file>

<file path=docProps/custom.xml><?xml version="1.0" encoding="utf-8"?>
<Properties xmlns="http://schemas.openxmlformats.org/officeDocument/2006/custom-properties" xmlns:vt="http://schemas.openxmlformats.org/officeDocument/2006/docPropsVTypes"/>
</file>