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DUE DILIGENCE CHECKLIST</w:t>
      </w:r>
    </w:p>
    <w:p>
      <w:pPr>
        <w:spacing w:after="260"/>
        <w:jc w:val="center"/>
      </w:pPr>
      <w:r>
        <w:rPr>
          <w:rFonts w:ascii="Calibri" w:cs="Calibri" w:eastAsia="Calibri" w:hAnsi="Calibri"/>
          <w:i/>
          <w:iCs/>
          <w:color w:val="6E7480"/>
          <w:sz w:val="19"/>
          <w:szCs w:val="19"/>
        </w:rPr>
        <w:t xml:space="preserve">Investment in </w:t>
      </w:r>
      <w:r>
        <w:rPr>
          <w:rFonts w:ascii="Calibri" w:cs="Calibri" w:eastAsia="Calibri" w:hAnsi="Calibri"/>
          <w:b/>
          <w:bCs/>
          <w:i/>
          <w:iCs/>
          <w:color w:val="6E7480"/>
          <w:sz w:val="19"/>
          <w:szCs w:val="19"/>
        </w:rPr>
        <w:t xml:space="preserve">[TARGET COMPANY NAME]</w:t>
      </w:r>
      <w:r>
        <w:rPr>
          <w:rFonts w:ascii="Calibri" w:cs="Calibri" w:eastAsia="Calibri" w:hAnsi="Calibri"/>
          <w:i/>
          <w:iCs/>
          <w:color w:val="6E7480"/>
          <w:sz w:val="19"/>
          <w:szCs w:val="19"/>
        </w:rPr>
        <w:t xml:space="preserve"> — request list</w:t>
      </w:r>
    </w:p>
    <w:p>
      <w:pPr>
        <w:spacing w:after="120" w:before="0" w:line="276"/>
        <w:jc w:val="both"/>
      </w:pPr>
      <w:r>
        <w:rPr>
          <w:rFonts w:ascii="Calibri" w:cs="Calibri" w:eastAsia="Calibri" w:hAnsi="Calibri"/>
          <w:sz w:val="21"/>
          <w:szCs w:val="21"/>
        </w:rPr>
        <w:t xml:space="preserve">Prepared by </w:t>
      </w:r>
      <w:r>
        <w:rPr>
          <w:rFonts w:ascii="Calibri" w:cs="Calibri" w:eastAsia="Calibri" w:hAnsi="Calibri"/>
          <w:b/>
          <w:bCs/>
          <w:sz w:val="21"/>
          <w:szCs w:val="21"/>
        </w:rPr>
        <w:t xml:space="preserve">[FIRM / INVESTOR]</w:t>
      </w:r>
      <w:r>
        <w:rPr>
          <w:rFonts w:ascii="Calibri" w:cs="Calibri" w:eastAsia="Calibri" w:hAnsi="Calibri"/>
          <w:sz w:val="21"/>
          <w:szCs w:val="21"/>
        </w:rPr>
        <w:t xml:space="preserve">    Date: </w:t>
      </w:r>
      <w:r>
        <w:rPr>
          <w:rFonts w:ascii="Calibri" w:cs="Calibri" w:eastAsia="Calibri" w:hAnsi="Calibri"/>
          <w:b/>
          <w:bCs/>
          <w:sz w:val="21"/>
          <w:szCs w:val="21"/>
        </w:rPr>
        <w:t xml:space="preserve">[DATE]</w:t>
      </w:r>
      <w:r>
        <w:rPr>
          <w:rFonts w:ascii="Calibri" w:cs="Calibri" w:eastAsia="Calibri" w:hAnsi="Calibri"/>
          <w:sz w:val="21"/>
          <w:szCs w:val="21"/>
        </w:rPr>
        <w:t xml:space="preserve">    Diligence period: the </w:t>
      </w:r>
      <w:r>
        <w:rPr>
          <w:rFonts w:ascii="Calibri" w:cs="Calibri" w:eastAsia="Calibri" w:hAnsi="Calibri"/>
          <w:b/>
          <w:bCs/>
          <w:sz w:val="21"/>
          <w:szCs w:val="21"/>
        </w:rPr>
        <w:t xml:space="preserve">[3]</w:t>
      </w:r>
      <w:r>
        <w:rPr>
          <w:rFonts w:ascii="Calibri" w:cs="Calibri" w:eastAsia="Calibri" w:hAnsi="Calibri"/>
          <w:sz w:val="21"/>
          <w:szCs w:val="21"/>
        </w:rPr>
        <w:t xml:space="preserve"> financial years ended </w:t>
      </w:r>
      <w:r>
        <w:rPr>
          <w:rFonts w:ascii="Calibri" w:cs="Calibri" w:eastAsia="Calibri" w:hAnsi="Calibri"/>
          <w:b/>
          <w:bCs/>
          <w:sz w:val="21"/>
          <w:szCs w:val="21"/>
        </w:rPr>
        <w:t xml:space="preserve">[DATE]</w:t>
      </w:r>
      <w:r>
        <w:rPr>
          <w:rFonts w:ascii="Calibri" w:cs="Calibri" w:eastAsia="Calibri" w:hAnsi="Calibri"/>
          <w:sz w:val="21"/>
          <w:szCs w:val="21"/>
        </w:rPr>
        <w:t xml:space="preserve"> and the stub period to </w:t>
      </w:r>
      <w:r>
        <w:rPr>
          <w:rFonts w:ascii="Calibri" w:cs="Calibri" w:eastAsia="Calibri" w:hAnsi="Calibri"/>
          <w:b/>
          <w:bCs/>
          <w:sz w:val="21"/>
          <w:szCs w:val="21"/>
        </w:rPr>
        <w:t xml:space="preserve">[DATE]</w:t>
      </w:r>
    </w:p>
    <w:p>
      <w:pPr>
        <w:spacing w:after="180" w:before="0" w:line="276"/>
        <w:jc w:val="both"/>
      </w:pPr>
      <w:r>
        <w:rPr>
          <w:rFonts w:ascii="Calibri" w:cs="Calibri" w:eastAsia="Calibri" w:hAnsi="Calibri"/>
          <w:i/>
          <w:iCs/>
          <w:color w:val="6E7480"/>
          <w:sz w:val="21"/>
          <w:szCs w:val="21"/>
        </w:rPr>
        <w:t xml:space="preserve">Send this list at the outset and ask for everything to be uploaded to a single indexed data room. Mark items not applicable rather than leaving them blank — a blank line is indistinguishable from an item the target hopes you will forget. Priority: High means it is a condition to proceeding; Medium means it is required before completion; Low means it can follow.</w:t>
      </w:r>
    </w:p>
    <w:p>
      <w:pPr>
        <w:keepNext/>
        <w:spacing w:after="100" w:before="200"/>
        <w:outlineLvl w:val="1"/>
      </w:pPr>
      <w:r>
        <w:rPr>
          <w:rFonts w:ascii="Calibri" w:cs="Calibri" w:eastAsia="Calibri" w:hAnsi="Calibri"/>
          <w:b/>
          <w:bCs/>
          <w:color w:val="14161B"/>
          <w:sz w:val="21"/>
          <w:szCs w:val="21"/>
        </w:rPr>
        <w:t xml:space="preserve">1. Corporate and constitutional</w:t>
      </w:r>
    </w:p>
    <w:p>
      <w:pPr>
        <w:spacing w:after="100" w:before="0" w:line="276"/>
        <w:jc w:val="both"/>
      </w:pPr>
      <w:r>
        <w:rPr>
          <w:rFonts w:ascii="Calibri" w:cs="Calibri" w:eastAsia="Calibri" w:hAnsi="Calibri"/>
          <w:i/>
          <w:iCs/>
          <w:sz w:val="21"/>
          <w:szCs w:val="21"/>
        </w:rPr>
        <w:t xml:space="preserve">Establish that the company exists, that its capital is what the cap table says, and that its records would survive inspection.</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6015"/>
        <w:gridCol w:w="1804"/>
        <w:gridCol w:w="1203"/>
        <w:gridCol w:w="1353"/>
        <w:gridCol w:w="1804"/>
        <w:gridCol w:w="2258"/>
      </w:tblGrid>
      <w:tr>
        <w:trPr>
          <w:tblHeader/>
        </w:trPr>
        <w:tc>
          <w:tcPr>
            <w:tcW w:type="dxa" w:w="60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w:t>
            </w:r>
          </w:p>
        </w:tc>
        <w:tc>
          <w:tcPr>
            <w:tcW w:type="dxa" w:w="601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Document or information requested</w:t>
            </w:r>
          </w:p>
        </w:tc>
        <w:tc>
          <w:tcPr>
            <w:tcW w:type="dxa" w:w="1804"/>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Period</w:t>
            </w:r>
          </w:p>
        </w:tc>
        <w:tc>
          <w:tcPr>
            <w:tcW w:type="dxa" w:w="120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Priority</w:t>
            </w:r>
          </w:p>
        </w:tc>
        <w:tc>
          <w:tcPr>
            <w:tcW w:type="dxa" w:w="135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Provided</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Data room reference</w:t>
            </w:r>
          </w:p>
        </w:tc>
        <w:tc>
          <w:tcPr>
            <w:tcW w:type="dxa" w:w="225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Reviewer 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1.1</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Certificate of incorporation, and every certificate issued on change of name, conversion or shifting of registered office</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1.2</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Memorandum and articles of association, current and every amended version, with the resolutions authorising each amendment</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1.3</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Master data extract from the Registrar of Companies portal, and all forms filed, with challans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1.4</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 of members, register of directors and key managerial personnel, register of charges, register of related party contracts, and register of loans and investments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1.5</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Minutes of all Board meetings, committee meetings and general meetings, with attendance records and signed resolutions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1.6</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 certificates issued, with evidence of stamping, and share transfer forms in Form SH-4 with evidence of stamping</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1.7</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 private placement offer letters, records of offers, return of allotment filings, and separate bank account statements for subscription money</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1.8</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Valuation reports supporting every issue of securities, and, where applicable, valuation certificates for exchange control purposes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1.9</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 shareholders’ agreements, subscription agreements, share purchase agreements, convertible instruments, side letters and waivers, whether or not still in force</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1.10</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every subsidiary, associate, joint venture, branch and liaison office, with the same documents for each</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Medium</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1.11</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any striking off, revival, compounding, adjudication or condonation of delay proceeding</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1.12</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Startup recognition certificate, and any certificate under a tax holiday or incentive scheme</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Medium</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bl>
    <w:p>
      <w:pPr>
        <w:spacing w:after="160"/>
      </w:pPr>
    </w:p>
    <w:p>
      <w:pPr>
        <w:keepNext/>
        <w:spacing w:after="100" w:before="200"/>
        <w:outlineLvl w:val="1"/>
      </w:pPr>
      <w:r>
        <w:rPr>
          <w:rFonts w:ascii="Calibri" w:cs="Calibri" w:eastAsia="Calibri" w:hAnsi="Calibri"/>
          <w:b/>
          <w:bCs/>
          <w:color w:val="14161B"/>
          <w:sz w:val="21"/>
          <w:szCs w:val="21"/>
        </w:rPr>
        <w:t xml:space="preserve">2. Capitalisation and securities</w:t>
      </w:r>
    </w:p>
    <w:p>
      <w:pPr>
        <w:spacing w:after="100" w:before="0" w:line="276"/>
        <w:jc w:val="both"/>
      </w:pPr>
      <w:r>
        <w:rPr>
          <w:rFonts w:ascii="Calibri" w:cs="Calibri" w:eastAsia="Calibri" w:hAnsi="Calibri"/>
          <w:i/>
          <w:iCs/>
          <w:sz w:val="21"/>
          <w:szCs w:val="21"/>
        </w:rPr>
        <w:t xml:space="preserve">Reconcile the cap table to the register of members and to the filed returns. They frequently disagree.</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6015"/>
        <w:gridCol w:w="1804"/>
        <w:gridCol w:w="1203"/>
        <w:gridCol w:w="1353"/>
        <w:gridCol w:w="1804"/>
        <w:gridCol w:w="2258"/>
      </w:tblGrid>
      <w:tr>
        <w:trPr>
          <w:tblHeader/>
        </w:trPr>
        <w:tc>
          <w:tcPr>
            <w:tcW w:type="dxa" w:w="60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w:t>
            </w:r>
          </w:p>
        </w:tc>
        <w:tc>
          <w:tcPr>
            <w:tcW w:type="dxa" w:w="601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Document or information requested</w:t>
            </w:r>
          </w:p>
        </w:tc>
        <w:tc>
          <w:tcPr>
            <w:tcW w:type="dxa" w:w="1804"/>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Period</w:t>
            </w:r>
          </w:p>
        </w:tc>
        <w:tc>
          <w:tcPr>
            <w:tcW w:type="dxa" w:w="120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Priority</w:t>
            </w:r>
          </w:p>
        </w:tc>
        <w:tc>
          <w:tcPr>
            <w:tcW w:type="dxa" w:w="135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Provided</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Data room reference</w:t>
            </w:r>
          </w:p>
        </w:tc>
        <w:tc>
          <w:tcPr>
            <w:tcW w:type="dxa" w:w="225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Reviewer 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2.1</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Capitalisation table as at the date of this request, on an issued and a fully diluted basis, with a reconciliation to the register of members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2.2</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Round-by-round history of every issue of securities, with price, valuation, instrument, subscriber and date</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2.3</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Terms of every class of preference share, convertible note, warrant, or other convertible instrument outstanding</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2.4</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Employee stock option scheme, every amendment, the authorising resolutions, and the grant, vesting, exercise and cancellation register</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2.5</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 grant letters issued, and details of options granted, vested, exercised, lapsed and outstanding, by holder</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2.6</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any phantom stock, stock appreciation right, or other equity-linked entitlement, whether or not documented</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2.7</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any pledge, lien, escrow or other encumbrance over any security, and any voting or nominee arrangement</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2.8</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any promise or assurance of equity made to any person and not yet documented</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bl>
    <w:p>
      <w:pPr>
        <w:spacing w:after="160"/>
      </w:pPr>
    </w:p>
    <w:p>
      <w:pPr>
        <w:keepNext/>
        <w:spacing w:after="100" w:before="200"/>
        <w:outlineLvl w:val="1"/>
      </w:pPr>
      <w:r>
        <w:rPr>
          <w:rFonts w:ascii="Calibri" w:cs="Calibri" w:eastAsia="Calibri" w:hAnsi="Calibri"/>
          <w:b/>
          <w:bCs/>
          <w:color w:val="14161B"/>
          <w:sz w:val="21"/>
          <w:szCs w:val="21"/>
        </w:rPr>
        <w:t xml:space="preserve">3. Financial</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6015"/>
        <w:gridCol w:w="1804"/>
        <w:gridCol w:w="1203"/>
        <w:gridCol w:w="1353"/>
        <w:gridCol w:w="1804"/>
        <w:gridCol w:w="2258"/>
      </w:tblGrid>
      <w:tr>
        <w:trPr>
          <w:tblHeader/>
        </w:trPr>
        <w:tc>
          <w:tcPr>
            <w:tcW w:type="dxa" w:w="60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w:t>
            </w:r>
          </w:p>
        </w:tc>
        <w:tc>
          <w:tcPr>
            <w:tcW w:type="dxa" w:w="601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Document or information requested</w:t>
            </w:r>
          </w:p>
        </w:tc>
        <w:tc>
          <w:tcPr>
            <w:tcW w:type="dxa" w:w="1804"/>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Period</w:t>
            </w:r>
          </w:p>
        </w:tc>
        <w:tc>
          <w:tcPr>
            <w:tcW w:type="dxa" w:w="120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Priority</w:t>
            </w:r>
          </w:p>
        </w:tc>
        <w:tc>
          <w:tcPr>
            <w:tcW w:type="dxa" w:w="135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Provided</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Data room reference</w:t>
            </w:r>
          </w:p>
        </w:tc>
        <w:tc>
          <w:tcPr>
            <w:tcW w:type="dxa" w:w="225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Reviewer 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3.1</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Audited financial statements, with the auditors’ report, notes, and the management letter for each year</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[3]</w:t>
            </w:r>
            <w:r>
              <w:rPr>
                <w:rFonts w:ascii="Calibri" w:cs="Calibri" w:eastAsia="Calibri" w:hAnsi="Calibri"/>
                <w:sz w:val="17"/>
                <w:szCs w:val="17"/>
              </w:rPr>
              <w:t xml:space="preserve"> years</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3.2</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Management accounts for the stub period, and the monthly management information pack for the last </w:t>
            </w:r>
            <w:r>
              <w:rPr>
                <w:rFonts w:ascii="Calibri" w:cs="Calibri" w:eastAsia="Calibri" w:hAnsi="Calibri"/>
                <w:b/>
                <w:bCs/>
                <w:sz w:val="17"/>
                <w:szCs w:val="17"/>
              </w:rPr>
              <w:t xml:space="preserve">[18]</w:t>
            </w:r>
            <w:r>
              <w:rPr>
                <w:rFonts w:ascii="Calibri" w:cs="Calibri" w:eastAsia="Calibri" w:hAnsi="Calibri"/>
                <w:sz w:val="17"/>
                <w:szCs w:val="17"/>
              </w:rPr>
              <w:t xml:space="preserve"> months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Stub period</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3.3</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Trial balance, general ledger and detailed schedules supporting each balance sheet line</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[3]</w:t>
            </w:r>
            <w:r>
              <w:rPr>
                <w:rFonts w:ascii="Calibri" w:cs="Calibri" w:eastAsia="Calibri" w:hAnsi="Calibri"/>
                <w:sz w:val="17"/>
                <w:szCs w:val="17"/>
              </w:rPr>
              <w:t xml:space="preserve"> years</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3.4</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Revenue recognition policy, and a customer-wise revenue schedule with contract references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[3]</w:t>
            </w:r>
            <w:r>
              <w:rPr>
                <w:rFonts w:ascii="Calibri" w:cs="Calibri" w:eastAsia="Calibri" w:hAnsi="Calibri"/>
                <w:sz w:val="17"/>
                <w:szCs w:val="17"/>
              </w:rPr>
              <w:t xml:space="preserve"> years</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3.5</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Ageing of trade receivables and trade payables, with the provisioning policy and details of disputed balances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3.6</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all borrowings, facilities, guarantees and encumbrances, with the loan documents and sanction letters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3.7</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Bank statements for all accounts, and a list of all bank accounts with signatories and mandates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[2]</w:t>
            </w:r>
            <w:r>
              <w:rPr>
                <w:rFonts w:ascii="Calibri" w:cs="Calibri" w:eastAsia="Calibri" w:hAnsi="Calibri"/>
                <w:sz w:val="17"/>
                <w:szCs w:val="17"/>
              </w:rPr>
              <w:t xml:space="preserve"> years</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Medium</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3.8</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all contingent liabilities, commitments, and off-balance-sheet arrangements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3.9</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Cash-flow projections, the current budget, and the variance analysis against the previous budget</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3.10</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all related party transactions, with the approvals obtained and the arm’s length justification</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[3]</w:t>
            </w:r>
            <w:r>
              <w:rPr>
                <w:rFonts w:ascii="Calibri" w:cs="Calibri" w:eastAsia="Calibri" w:hAnsi="Calibri"/>
                <w:sz w:val="17"/>
                <w:szCs w:val="17"/>
              </w:rPr>
              <w:t xml:space="preserve"> years</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3.11</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Fixed asset register, with title documents, and the depreciation policy</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Medium</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3.12</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any change in accounting policy, auditor, or financial year, and the reason for it</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bl>
    <w:p>
      <w:pPr>
        <w:spacing w:after="160"/>
      </w:pPr>
    </w:p>
    <w:p>
      <w:pPr>
        <w:keepNext/>
        <w:spacing w:after="100" w:before="200"/>
        <w:outlineLvl w:val="1"/>
      </w:pPr>
      <w:r>
        <w:rPr>
          <w:rFonts w:ascii="Calibri" w:cs="Calibri" w:eastAsia="Calibri" w:hAnsi="Calibri"/>
          <w:b/>
          <w:bCs/>
          <w:color w:val="14161B"/>
          <w:sz w:val="21"/>
          <w:szCs w:val="21"/>
        </w:rPr>
        <w:t xml:space="preserve">4. Taxation</w:t>
      </w:r>
    </w:p>
    <w:p>
      <w:pPr>
        <w:spacing w:after="100" w:before="0" w:line="276"/>
        <w:jc w:val="both"/>
      </w:pPr>
      <w:r>
        <w:rPr>
          <w:rFonts w:ascii="Calibri" w:cs="Calibri" w:eastAsia="Calibri" w:hAnsi="Calibri"/>
          <w:i/>
          <w:iCs/>
          <w:sz w:val="21"/>
          <w:szCs w:val="21"/>
        </w:rPr>
        <w:t xml:space="preserve">Tax is where undisclosed exposure most often sits, and where the diligence period should run to the end of the assessment window rather than to a fixed number of years.</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6015"/>
        <w:gridCol w:w="1804"/>
        <w:gridCol w:w="1203"/>
        <w:gridCol w:w="1353"/>
        <w:gridCol w:w="1804"/>
        <w:gridCol w:w="2258"/>
      </w:tblGrid>
      <w:tr>
        <w:trPr>
          <w:tblHeader/>
        </w:trPr>
        <w:tc>
          <w:tcPr>
            <w:tcW w:type="dxa" w:w="60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w:t>
            </w:r>
          </w:p>
        </w:tc>
        <w:tc>
          <w:tcPr>
            <w:tcW w:type="dxa" w:w="601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Document or information requested</w:t>
            </w:r>
          </w:p>
        </w:tc>
        <w:tc>
          <w:tcPr>
            <w:tcW w:type="dxa" w:w="1804"/>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Period</w:t>
            </w:r>
          </w:p>
        </w:tc>
        <w:tc>
          <w:tcPr>
            <w:tcW w:type="dxa" w:w="120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Priority</w:t>
            </w:r>
          </w:p>
        </w:tc>
        <w:tc>
          <w:tcPr>
            <w:tcW w:type="dxa" w:w="135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Provided</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Data room reference</w:t>
            </w:r>
          </w:p>
        </w:tc>
        <w:tc>
          <w:tcPr>
            <w:tcW w:type="dxa" w:w="225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Reviewer 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4.1</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Income-tax returns with computations, acknowledgements and audit reports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[4]</w:t>
            </w:r>
            <w:r>
              <w:rPr>
                <w:rFonts w:ascii="Calibri" w:cs="Calibri" w:eastAsia="Calibri" w:hAnsi="Calibri"/>
                <w:sz w:val="17"/>
                <w:szCs w:val="17"/>
              </w:rPr>
              <w:t xml:space="preserve"> years</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4.2</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 assessment, reassessment, rectification and appellate orders, and the status of every pending proceeding</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4.3</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 notices, summons, questionnaires and demands received from any tax authority, and the responses filed</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4.4</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Withholding tax returns and certificates, and a reconciliation of amounts deducted, deposited and reported</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[4]</w:t>
            </w:r>
            <w:r>
              <w:rPr>
                <w:rFonts w:ascii="Calibri" w:cs="Calibri" w:eastAsia="Calibri" w:hAnsi="Calibri"/>
                <w:sz w:val="17"/>
                <w:szCs w:val="17"/>
              </w:rPr>
              <w:t xml:space="preserve"> years</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4.5</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any short deduction, late deposit, interest or penalty in respect of withholding, and the consequent disallowance if any</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[4]</w:t>
            </w:r>
            <w:r>
              <w:rPr>
                <w:rFonts w:ascii="Calibri" w:cs="Calibri" w:eastAsia="Calibri" w:hAnsi="Calibri"/>
                <w:sz w:val="17"/>
                <w:szCs w:val="17"/>
              </w:rPr>
              <w:t xml:space="preserve"> years</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4.6</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Goods and services tax registrations for every State, all returns filed, and the annual return and reconciliation statement</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[4]</w:t>
            </w:r>
            <w:r>
              <w:rPr>
                <w:rFonts w:ascii="Calibri" w:cs="Calibri" w:eastAsia="Calibri" w:hAnsi="Calibri"/>
                <w:sz w:val="17"/>
                <w:szCs w:val="17"/>
              </w:rPr>
              <w:t xml:space="preserve"> years</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4.7</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Reconciliation of input tax credit availed against the credit reflected in the electronic credit ledger, with details of supplier defaults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[3]</w:t>
            </w:r>
            <w:r>
              <w:rPr>
                <w:rFonts w:ascii="Calibri" w:cs="Calibri" w:eastAsia="Calibri" w:hAnsi="Calibri"/>
                <w:sz w:val="17"/>
                <w:szCs w:val="17"/>
              </w:rPr>
              <w:t xml:space="preserve"> years</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4.8</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 goods and services tax notices, audits, demands, refunds claimed and appeals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4.9</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Transfer pricing study, accountant’s report, and details of every international or specified domestic transaction</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[3]</w:t>
            </w:r>
            <w:r>
              <w:rPr>
                <w:rFonts w:ascii="Calibri" w:cs="Calibri" w:eastAsia="Calibri" w:hAnsi="Calibri"/>
                <w:sz w:val="17"/>
                <w:szCs w:val="17"/>
              </w:rPr>
              <w:t xml:space="preserve"> years</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Medium</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4.10</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any tax holiday, deduction or incentive claimed, with the certificate and the conditions attaching to it</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Medium</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4.11</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Stamp duty position on share issues, transfers, agreements, leases and any instrument requiring stamping</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4.12</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any tax position taken which is uncertain, disclosed or the subject of an opinion</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bl>
    <w:p>
      <w:pPr>
        <w:spacing w:after="160"/>
      </w:pPr>
    </w:p>
    <w:p>
      <w:pPr>
        <w:keepNext/>
        <w:spacing w:after="100" w:before="200"/>
        <w:outlineLvl w:val="1"/>
      </w:pPr>
      <w:r>
        <w:rPr>
          <w:rFonts w:ascii="Calibri" w:cs="Calibri" w:eastAsia="Calibri" w:hAnsi="Calibri"/>
          <w:b/>
          <w:bCs/>
          <w:color w:val="14161B"/>
          <w:sz w:val="21"/>
          <w:szCs w:val="21"/>
        </w:rPr>
        <w:t xml:space="preserve">5. Employment and human resources</w:t>
      </w:r>
    </w:p>
    <w:p>
      <w:pPr>
        <w:spacing w:after="100" w:before="0" w:line="276"/>
        <w:jc w:val="both"/>
      </w:pPr>
      <w:r>
        <w:rPr>
          <w:rFonts w:ascii="Calibri" w:cs="Calibri" w:eastAsia="Calibri" w:hAnsi="Calibri"/>
          <w:i/>
          <w:iCs/>
          <w:sz w:val="21"/>
          <w:szCs w:val="21"/>
        </w:rPr>
        <w:t xml:space="preserve">The consolidated labour legislation changed the definition of wages, the treatment of overtime, and the settlement timeline. Diligence should test compliance in substance, not merely the existence of policies.</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6015"/>
        <w:gridCol w:w="1804"/>
        <w:gridCol w:w="1203"/>
        <w:gridCol w:w="1353"/>
        <w:gridCol w:w="1804"/>
        <w:gridCol w:w="2258"/>
      </w:tblGrid>
      <w:tr>
        <w:trPr>
          <w:tblHeader/>
        </w:trPr>
        <w:tc>
          <w:tcPr>
            <w:tcW w:type="dxa" w:w="60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w:t>
            </w:r>
          </w:p>
        </w:tc>
        <w:tc>
          <w:tcPr>
            <w:tcW w:type="dxa" w:w="601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Document or information requested</w:t>
            </w:r>
          </w:p>
        </w:tc>
        <w:tc>
          <w:tcPr>
            <w:tcW w:type="dxa" w:w="1804"/>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Period</w:t>
            </w:r>
          </w:p>
        </w:tc>
        <w:tc>
          <w:tcPr>
            <w:tcW w:type="dxa" w:w="120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Priority</w:t>
            </w:r>
          </w:p>
        </w:tc>
        <w:tc>
          <w:tcPr>
            <w:tcW w:type="dxa" w:w="135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Provided</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Data room reference</w:t>
            </w:r>
          </w:p>
        </w:tc>
        <w:tc>
          <w:tcPr>
            <w:tcW w:type="dxa" w:w="225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Reviewer 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5.1</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Complete employee list with designation, date of joining, location, cost to company, salary structure and notice period</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5.2</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Standard form of appointment letter and employment agreement for each grade, and executed copies for all key employees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5.3</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Confirmation that every employee, consultant and contractor has executed confidentiality and intellectual property assignment obligations, with copies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5.4</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Employee handbook and all human resources policies, including leave, working hours, overtime, expenses and code of conduct</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5.5</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Salary structure analysis showing the composition of wages and the proportion of the wage floor, for each grade</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5.6</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Provident fund, employees’ state insurance and other social security registrations, returns, challans and reconciliation of contributions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[3]</w:t>
            </w:r>
            <w:r>
              <w:rPr>
                <w:rFonts w:ascii="Calibri" w:cs="Calibri" w:eastAsia="Calibri" w:hAnsi="Calibri"/>
                <w:sz w:val="17"/>
                <w:szCs w:val="17"/>
              </w:rPr>
              <w:t xml:space="preserve"> years</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5.7</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Professional tax, labour welfare fund and other State registrations and returns for every location</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[3]</w:t>
            </w:r>
            <w:r>
              <w:rPr>
                <w:rFonts w:ascii="Calibri" w:cs="Calibri" w:eastAsia="Calibri" w:hAnsi="Calibri"/>
                <w:sz w:val="17"/>
                <w:szCs w:val="17"/>
              </w:rPr>
              <w:t xml:space="preserve"> years</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Medium</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5.8</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Shops and establishments registration for every location, with renewals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5.9</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Contract labour arrangements, contractor licences, principal employer registration, and evidence of contractor compliance</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5.10</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Policy for prevention of sexual harassment, constitution of the internal committee, training records, complaint register and annual returns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[3]</w:t>
            </w:r>
            <w:r>
              <w:rPr>
                <w:rFonts w:ascii="Calibri" w:cs="Calibri" w:eastAsia="Calibri" w:hAnsi="Calibri"/>
                <w:sz w:val="17"/>
                <w:szCs w:val="17"/>
              </w:rPr>
              <w:t xml:space="preserve"> years</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5.11</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all disputes, claims, notices or proceedings by or in respect of any employee, contractor or former employee</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5.12</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gratuity, leave encashment and other terminal benefit liabilities, with the actuarial valuation if any</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5.13</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every full and final settlement in the last </w:t>
            </w:r>
            <w:r>
              <w:rPr>
                <w:rFonts w:ascii="Calibri" w:cs="Calibri" w:eastAsia="Calibri" w:hAnsi="Calibri"/>
                <w:b/>
                <w:bCs/>
                <w:sz w:val="17"/>
                <w:szCs w:val="17"/>
              </w:rPr>
              <w:t xml:space="preserve">[24]</w:t>
            </w:r>
            <w:r>
              <w:rPr>
                <w:rFonts w:ascii="Calibri" w:cs="Calibri" w:eastAsia="Calibri" w:hAnsi="Calibri"/>
                <w:sz w:val="17"/>
                <w:szCs w:val="17"/>
              </w:rPr>
              <w:t xml:space="preserve"> months, with the date of payment against the date of exit</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[2]</w:t>
            </w:r>
            <w:r>
              <w:rPr>
                <w:rFonts w:ascii="Calibri" w:cs="Calibri" w:eastAsia="Calibri" w:hAnsi="Calibri"/>
                <w:sz w:val="17"/>
                <w:szCs w:val="17"/>
              </w:rPr>
              <w:t xml:space="preserve"> years</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Medium</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5.14</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any employee classified as a consultant, with the basis for that classification</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bl>
    <w:p>
      <w:pPr>
        <w:spacing w:after="160"/>
      </w:pPr>
    </w:p>
    <w:p>
      <w:pPr>
        <w:keepNext/>
        <w:spacing w:after="100" w:before="200"/>
        <w:outlineLvl w:val="1"/>
      </w:pPr>
      <w:r>
        <w:rPr>
          <w:rFonts w:ascii="Calibri" w:cs="Calibri" w:eastAsia="Calibri" w:hAnsi="Calibri"/>
          <w:b/>
          <w:bCs/>
          <w:color w:val="14161B"/>
          <w:sz w:val="21"/>
          <w:szCs w:val="21"/>
        </w:rPr>
        <w:t xml:space="preserve">6. Intellectual property and technology</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6015"/>
        <w:gridCol w:w="1804"/>
        <w:gridCol w:w="1203"/>
        <w:gridCol w:w="1353"/>
        <w:gridCol w:w="1804"/>
        <w:gridCol w:w="2258"/>
      </w:tblGrid>
      <w:tr>
        <w:trPr>
          <w:tblHeader/>
        </w:trPr>
        <w:tc>
          <w:tcPr>
            <w:tcW w:type="dxa" w:w="60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w:t>
            </w:r>
          </w:p>
        </w:tc>
        <w:tc>
          <w:tcPr>
            <w:tcW w:type="dxa" w:w="601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Document or information requested</w:t>
            </w:r>
          </w:p>
        </w:tc>
        <w:tc>
          <w:tcPr>
            <w:tcW w:type="dxa" w:w="1804"/>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Period</w:t>
            </w:r>
          </w:p>
        </w:tc>
        <w:tc>
          <w:tcPr>
            <w:tcW w:type="dxa" w:w="120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Priority</w:t>
            </w:r>
          </w:p>
        </w:tc>
        <w:tc>
          <w:tcPr>
            <w:tcW w:type="dxa" w:w="135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Provided</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Data room reference</w:t>
            </w:r>
          </w:p>
        </w:tc>
        <w:tc>
          <w:tcPr>
            <w:tcW w:type="dxa" w:w="225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Reviewer 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6.1</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Schedule of all registered and unregistered intellectual property, with registration numbers, status, renewal dates and jurisdictions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6.2</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Assignment deeds from every founder, employee, consultant, contractor, agency and freelancer who has contributed to any product</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6.3</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all domain names, code repositories, cloud accounts, application store listings and social media handles, with the registered owner of each</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6.4</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Complete bill of materials of open source components, with the licence applicable to each and an assessment of copyleft exposure</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6.5</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 inbound and outbound licences, distribution agreements, reseller agreements and technology partnerships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6.6</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any allegation of infringement made by or against the company, and any freedom-to-operate or clearance opinion</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6.7</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Architecture overview, technology stack, hosting arrangements, and the disaster recovery and business continuity plan</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Medium</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6.8</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Information security policy, access control model, penetration test reports and remediation status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6.9</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any use of third party models, datasets or application programming interfaces, with the licence terms and any restriction on commercial use</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6.10</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any escrow arrangement in respect of source code</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Low</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bl>
    <w:p>
      <w:pPr>
        <w:spacing w:after="160"/>
      </w:pPr>
    </w:p>
    <w:p>
      <w:pPr>
        <w:keepNext/>
        <w:spacing w:after="100" w:before="200"/>
        <w:outlineLvl w:val="1"/>
      </w:pPr>
      <w:r>
        <w:rPr>
          <w:rFonts w:ascii="Calibri" w:cs="Calibri" w:eastAsia="Calibri" w:hAnsi="Calibri"/>
          <w:b/>
          <w:bCs/>
          <w:color w:val="14161B"/>
          <w:sz w:val="21"/>
          <w:szCs w:val="21"/>
        </w:rPr>
        <w:t xml:space="preserve">7. Data protection and privacy</w:t>
      </w:r>
    </w:p>
    <w:p>
      <w:pPr>
        <w:spacing w:after="100" w:before="0" w:line="276"/>
        <w:jc w:val="both"/>
      </w:pPr>
      <w:r>
        <w:rPr>
          <w:rFonts w:ascii="Calibri" w:cs="Calibri" w:eastAsia="Calibri" w:hAnsi="Calibri"/>
          <w:i/>
          <w:iCs/>
          <w:sz w:val="21"/>
          <w:szCs w:val="21"/>
        </w:rPr>
        <w:t xml:space="preserve">Draft the request against the obligations actually in force at the time of the review, and treat readiness for the obligations being phased in as a separate question.</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6015"/>
        <w:gridCol w:w="1804"/>
        <w:gridCol w:w="1203"/>
        <w:gridCol w:w="1353"/>
        <w:gridCol w:w="1804"/>
        <w:gridCol w:w="2258"/>
      </w:tblGrid>
      <w:tr>
        <w:trPr>
          <w:tblHeader/>
        </w:trPr>
        <w:tc>
          <w:tcPr>
            <w:tcW w:type="dxa" w:w="60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w:t>
            </w:r>
          </w:p>
        </w:tc>
        <w:tc>
          <w:tcPr>
            <w:tcW w:type="dxa" w:w="601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Document or information requested</w:t>
            </w:r>
          </w:p>
        </w:tc>
        <w:tc>
          <w:tcPr>
            <w:tcW w:type="dxa" w:w="1804"/>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Period</w:t>
            </w:r>
          </w:p>
        </w:tc>
        <w:tc>
          <w:tcPr>
            <w:tcW w:type="dxa" w:w="120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Priority</w:t>
            </w:r>
          </w:p>
        </w:tc>
        <w:tc>
          <w:tcPr>
            <w:tcW w:type="dxa" w:w="135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Provided</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Data room reference</w:t>
            </w:r>
          </w:p>
        </w:tc>
        <w:tc>
          <w:tcPr>
            <w:tcW w:type="dxa" w:w="225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Reviewer 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7.1</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 of processing activities, describing each processing activity, its purpose, the categories of data and data principals, and the retention period</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7.2</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Privacy notices and consent mechanisms as presented to users, with screenshots and the consent record architecture</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7.3</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Data processing agreements with every processor and sub-processor engaged</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7.4</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Technical and organisational security measures, including encryption, access control, logging and retention of logs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7.5</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Personal data breach register, incident response plan, and details of any breach, notification or complaint</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7.6</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any processing of children’s data, and the verifiable parental consent mechanism</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7.7</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any transfer of personal data outside India, with the destination and the basis for the transfer</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7.8</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Data retention and erasure policy, and evidence of erasure at the end of the retention period</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Medium</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7.9</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any correspondence with, or direction from, a data protection authority</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bl>
    <w:p>
      <w:pPr>
        <w:spacing w:after="160"/>
      </w:pPr>
    </w:p>
    <w:p>
      <w:pPr>
        <w:keepNext/>
        <w:spacing w:after="100" w:before="200"/>
        <w:outlineLvl w:val="1"/>
      </w:pPr>
      <w:r>
        <w:rPr>
          <w:rFonts w:ascii="Calibri" w:cs="Calibri" w:eastAsia="Calibri" w:hAnsi="Calibri"/>
          <w:b/>
          <w:bCs/>
          <w:color w:val="14161B"/>
          <w:sz w:val="21"/>
          <w:szCs w:val="21"/>
        </w:rPr>
        <w:t xml:space="preserve">8. Contracts and commercial</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6015"/>
        <w:gridCol w:w="1804"/>
        <w:gridCol w:w="1203"/>
        <w:gridCol w:w="1353"/>
        <w:gridCol w:w="1804"/>
        <w:gridCol w:w="2258"/>
      </w:tblGrid>
      <w:tr>
        <w:trPr>
          <w:tblHeader/>
        </w:trPr>
        <w:tc>
          <w:tcPr>
            <w:tcW w:type="dxa" w:w="60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w:t>
            </w:r>
          </w:p>
        </w:tc>
        <w:tc>
          <w:tcPr>
            <w:tcW w:type="dxa" w:w="601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Document or information requested</w:t>
            </w:r>
          </w:p>
        </w:tc>
        <w:tc>
          <w:tcPr>
            <w:tcW w:type="dxa" w:w="1804"/>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Period</w:t>
            </w:r>
          </w:p>
        </w:tc>
        <w:tc>
          <w:tcPr>
            <w:tcW w:type="dxa" w:w="120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Priority</w:t>
            </w:r>
          </w:p>
        </w:tc>
        <w:tc>
          <w:tcPr>
            <w:tcW w:type="dxa" w:w="135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Provided</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Data room reference</w:t>
            </w:r>
          </w:p>
        </w:tc>
        <w:tc>
          <w:tcPr>
            <w:tcW w:type="dxa" w:w="225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Reviewer 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8.1</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Top </w:t>
            </w:r>
            <w:r>
              <w:rPr>
                <w:rFonts w:ascii="Calibri" w:cs="Calibri" w:eastAsia="Calibri" w:hAnsi="Calibri"/>
                <w:b/>
                <w:bCs/>
                <w:sz w:val="17"/>
                <w:szCs w:val="17"/>
              </w:rPr>
              <w:t xml:space="preserve">[20]</w:t>
            </w:r>
            <w:r>
              <w:rPr>
                <w:rFonts w:ascii="Calibri" w:cs="Calibri" w:eastAsia="Calibri" w:hAnsi="Calibri"/>
                <w:sz w:val="17"/>
                <w:szCs w:val="17"/>
              </w:rPr>
              <w:t xml:space="preserve"> customer contracts by revenue, with order forms, statements of work, amendments and renewal correspondence</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8.2</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Standard form of customer contract and terms of service, and a list of every deviation from it agreed with a customer</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8.3</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Top </w:t>
            </w:r>
            <w:r>
              <w:rPr>
                <w:rFonts w:ascii="Calibri" w:cs="Calibri" w:eastAsia="Calibri" w:hAnsi="Calibri"/>
                <w:b/>
                <w:bCs/>
                <w:sz w:val="17"/>
                <w:szCs w:val="17"/>
              </w:rPr>
              <w:t xml:space="preserve">[20]</w:t>
            </w:r>
            <w:r>
              <w:rPr>
                <w:rFonts w:ascii="Calibri" w:cs="Calibri" w:eastAsia="Calibri" w:hAnsi="Calibri"/>
                <w:sz w:val="17"/>
                <w:szCs w:val="17"/>
              </w:rPr>
              <w:t xml:space="preserve"> supplier and vendor contracts, and every contract material to the operation of the business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8.4</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 contracts containing a change of control, assignment restriction, exclusivity, most favoured nation, or minimum commitment provision</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8.5</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 contracts with an uncapped liability, an unusual indemnity, or a service credit or liquidated damages regime</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8.6</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 agency, distribution, reseller, referral and revenue share arrangements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Medium</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8.7</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 leases, licences and leave and licence agreements for premises, with evidence of registration and stamping</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8.8</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 insurance policies, with schedules, claims history and details of any claim declined</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Medium</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8.9</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the top </w:t>
            </w:r>
            <w:r>
              <w:rPr>
                <w:rFonts w:ascii="Calibri" w:cs="Calibri" w:eastAsia="Calibri" w:hAnsi="Calibri"/>
                <w:b/>
                <w:bCs/>
                <w:sz w:val="17"/>
                <w:szCs w:val="17"/>
              </w:rPr>
              <w:t xml:space="preserve">[20]</w:t>
            </w:r>
            <w:r>
              <w:rPr>
                <w:rFonts w:ascii="Calibri" w:cs="Calibri" w:eastAsia="Calibri" w:hAnsi="Calibri"/>
                <w:sz w:val="17"/>
                <w:szCs w:val="17"/>
              </w:rPr>
              <w:t xml:space="preserve"> customers by revenue for each period, with churn, contract term and renewal status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[3]</w:t>
            </w:r>
            <w:r>
              <w:rPr>
                <w:rFonts w:ascii="Calibri" w:cs="Calibri" w:eastAsia="Calibri" w:hAnsi="Calibri"/>
                <w:sz w:val="17"/>
                <w:szCs w:val="17"/>
              </w:rPr>
              <w:t xml:space="preserve"> years</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8.10</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any customer or supplier representing more than </w:t>
            </w:r>
            <w:r>
              <w:rPr>
                <w:rFonts w:ascii="Calibri" w:cs="Calibri" w:eastAsia="Calibri" w:hAnsi="Calibri"/>
                <w:b/>
                <w:bCs/>
                <w:sz w:val="17"/>
                <w:szCs w:val="17"/>
              </w:rPr>
              <w:t xml:space="preserve">[10]</w:t>
            </w:r>
            <w:r>
              <w:rPr>
                <w:rFonts w:ascii="Calibri" w:cs="Calibri" w:eastAsia="Calibri" w:hAnsi="Calibri"/>
                <w:sz w:val="17"/>
                <w:szCs w:val="17"/>
              </w:rPr>
              <w:t xml:space="preserve"> per cent of revenue or cost</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bl>
    <w:p>
      <w:pPr>
        <w:spacing w:after="160"/>
      </w:pPr>
    </w:p>
    <w:p>
      <w:pPr>
        <w:keepNext/>
        <w:spacing w:after="100" w:before="200"/>
        <w:outlineLvl w:val="1"/>
      </w:pPr>
      <w:r>
        <w:rPr>
          <w:rFonts w:ascii="Calibri" w:cs="Calibri" w:eastAsia="Calibri" w:hAnsi="Calibri"/>
          <w:b/>
          <w:bCs/>
          <w:color w:val="14161B"/>
          <w:sz w:val="21"/>
          <w:szCs w:val="21"/>
        </w:rPr>
        <w:t xml:space="preserve">9. Regulatory, litigation and compliance</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6015"/>
        <w:gridCol w:w="1804"/>
        <w:gridCol w:w="1203"/>
        <w:gridCol w:w="1353"/>
        <w:gridCol w:w="1804"/>
        <w:gridCol w:w="2258"/>
      </w:tblGrid>
      <w:tr>
        <w:trPr>
          <w:tblHeader/>
        </w:trPr>
        <w:tc>
          <w:tcPr>
            <w:tcW w:type="dxa" w:w="60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w:t>
            </w:r>
          </w:p>
        </w:tc>
        <w:tc>
          <w:tcPr>
            <w:tcW w:type="dxa" w:w="601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Document or information requested</w:t>
            </w:r>
          </w:p>
        </w:tc>
        <w:tc>
          <w:tcPr>
            <w:tcW w:type="dxa" w:w="1804"/>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Period</w:t>
            </w:r>
          </w:p>
        </w:tc>
        <w:tc>
          <w:tcPr>
            <w:tcW w:type="dxa" w:w="120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Priority</w:t>
            </w:r>
          </w:p>
        </w:tc>
        <w:tc>
          <w:tcPr>
            <w:tcW w:type="dxa" w:w="135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Provided</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Data room reference</w:t>
            </w:r>
          </w:p>
        </w:tc>
        <w:tc>
          <w:tcPr>
            <w:tcW w:type="dxa" w:w="225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Reviewer 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9.1</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 licences, registrations, permits and approvals required to carry on the business, with expiry and renewal status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9.2</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 correspondence with any regulator, and details of any inspection, audit, show cause notice or order</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9.3</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every litigation, arbitration, prosecution or proceeding, pending or threatened, by or against the company or any director</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9.4</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every notice received or issued that could give rise to a claim, including any statutory demand notice</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9.5</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Anti-bribery, whistleblower and code of conduct policies, with training records and the whistleblower register</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Medium</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9.6</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Exchange control filings for every foreign investment received, with the acknowledgements, and details of any delayed or pending filing</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9.7</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 return on foreign liabilities and assets, where applicable</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[3]</w:t>
            </w:r>
            <w:r>
              <w:rPr>
                <w:rFonts w:ascii="Calibri" w:cs="Calibri" w:eastAsia="Calibri" w:hAnsi="Calibri"/>
                <w:sz w:val="17"/>
                <w:szCs w:val="17"/>
              </w:rPr>
              <w:t xml:space="preserve"> years</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Medium</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9.8</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any compounding application, penalty or adjudication under any legislation</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9.9</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Environmental, health and safety approvals and incident records, where applicable</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Low</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9.10</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any transaction with, or exposure to, a sanctioned person or jurisdiction</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bl>
    <w:p>
      <w:pPr>
        <w:spacing w:after="160"/>
      </w:pPr>
    </w:p>
    <w:p>
      <w:pPr>
        <w:keepNext/>
        <w:spacing w:after="100" w:before="200"/>
        <w:outlineLvl w:val="1"/>
      </w:pPr>
      <w:r>
        <w:rPr>
          <w:rFonts w:ascii="Calibri" w:cs="Calibri" w:eastAsia="Calibri" w:hAnsi="Calibri"/>
          <w:b/>
          <w:bCs/>
          <w:color w:val="14161B"/>
          <w:sz w:val="21"/>
          <w:szCs w:val="21"/>
        </w:rPr>
        <w:t xml:space="preserve">10. Business and operations</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6015"/>
        <w:gridCol w:w="1804"/>
        <w:gridCol w:w="1203"/>
        <w:gridCol w:w="1353"/>
        <w:gridCol w:w="1804"/>
        <w:gridCol w:w="2258"/>
      </w:tblGrid>
      <w:tr>
        <w:trPr>
          <w:tblHeader/>
        </w:trPr>
        <w:tc>
          <w:tcPr>
            <w:tcW w:type="dxa" w:w="60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w:t>
            </w:r>
          </w:p>
        </w:tc>
        <w:tc>
          <w:tcPr>
            <w:tcW w:type="dxa" w:w="601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Document or information requested</w:t>
            </w:r>
          </w:p>
        </w:tc>
        <w:tc>
          <w:tcPr>
            <w:tcW w:type="dxa" w:w="1804"/>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Period</w:t>
            </w:r>
          </w:p>
        </w:tc>
        <w:tc>
          <w:tcPr>
            <w:tcW w:type="dxa" w:w="120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Priority</w:t>
            </w:r>
          </w:p>
        </w:tc>
        <w:tc>
          <w:tcPr>
            <w:tcW w:type="dxa" w:w="135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Provided</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Data room reference</w:t>
            </w:r>
          </w:p>
        </w:tc>
        <w:tc>
          <w:tcPr>
            <w:tcW w:type="dxa" w:w="225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Reviewer 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10.1</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Business plan, investor deck, and any materials shared with other investors or lenders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10.2</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Product roadmap, and details of any product discontinued or materially changed</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Medium</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10.3</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Key operating metrics, with the definition of each and the source of the underlying data</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[3]</w:t>
            </w:r>
            <w:r>
              <w:rPr>
                <w:rFonts w:ascii="Calibri" w:cs="Calibri" w:eastAsia="Calibri" w:hAnsi="Calibri"/>
                <w:sz w:val="17"/>
                <w:szCs w:val="17"/>
              </w:rPr>
              <w:t xml:space="preserve"> years</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10.4</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Organisation chart, and details of the reporting lines and of any key person dependency</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Current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Medium</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10.5</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any acquisition, disposal, restructuring or reorganisation completed or contemplated</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High</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10.6</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any government grant, subsidy or incentive received, with the conditions attaching to it</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Since inception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Medium</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10.7</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any material customer complaint, service outage, or reputational incident</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[2]</w:t>
            </w:r>
            <w:r>
              <w:rPr>
                <w:rFonts w:ascii="Calibri" w:cs="Calibri" w:eastAsia="Calibri" w:hAnsi="Calibri"/>
                <w:sz w:val="17"/>
                <w:szCs w:val="17"/>
              </w:rPr>
              <w:t xml:space="preserve"> years</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Medium</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25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bl>
    <w:p>
      <w:pPr>
        <w:spacing w:after="160"/>
      </w:pPr>
    </w:p>
    <w:p>
      <w:pPr>
        <w:sectPr>
          <w:headerReference w:type="default" r:id="rId7"/>
          <w:headerReference w:type="first" r:id="rId8"/>
          <w:footerReference w:type="default" r:id="rId9"/>
          <w:footerReference w:type="first" r:id="rId10"/>
          <w:pgSz w:w="16838" w:h="11906" w:orient="landscape"/>
          <w:pgMar w:top="900" w:right="900" w:bottom="900" w:left="900" w:header="708" w:footer="708" w:gutter="0"/>
          <w:pgNumType/>
          <w:titlePg/>
          <w:docGrid w:linePitch="360"/>
        </w:sectPr>
      </w:pP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Send it once, indexed, and insist on an index back</w:t>
      </w:r>
    </w:p>
    <w:p>
      <w:pPr>
        <w:spacing w:after="60" w:line="264"/>
        <w:jc w:val="both"/>
      </w:pPr>
      <w:r>
        <w:rPr>
          <w:rFonts w:ascii="Calibri" w:cs="Calibri" w:eastAsia="Calibri" w:hAnsi="Calibri"/>
          <w:sz w:val="19"/>
          <w:szCs w:val="19"/>
        </w:rPr>
        <w:t xml:space="preserve">The most common failure in a diligence exercise is not the target withholding something but both sides losing track of what was asked and what was answered. Number the request list, require the response to carry the same numbering, and require an explicit "not applicable" rather than silence. This checklist is designed to be used as a live tracker, with the last three columns filled in as the exercise proceeds.</w:t>
      </w:r>
    </w:p>
    <w:p>
      <w:pPr>
        <w:keepNext/>
        <w:spacing w:after="40" w:before="140"/>
      </w:pPr>
      <w:r>
        <w:rPr>
          <w:rFonts w:ascii="Calibri" w:cs="Calibri" w:eastAsia="Calibri" w:hAnsi="Calibri"/>
          <w:b/>
          <w:bCs/>
          <w:color w:val="14161B"/>
          <w:sz w:val="20"/>
          <w:szCs w:val="20"/>
        </w:rPr>
        <w:t xml:space="preserve">Scope the period to the risk, not to a round number</w:t>
      </w:r>
    </w:p>
    <w:p>
      <w:pPr>
        <w:spacing w:after="60" w:line="264"/>
        <w:jc w:val="both"/>
      </w:pPr>
      <w:r>
        <w:rPr>
          <w:rFonts w:ascii="Calibri" w:cs="Calibri" w:eastAsia="Calibri" w:hAnsi="Calibri"/>
          <w:sz w:val="19"/>
          <w:szCs w:val="19"/>
        </w:rPr>
        <w:t xml:space="preserve">Three years is conventional for financial items and is usually wrong for tax and for corporate records. Tax exposure should be diligenced to the end of the period within which the authority may still assess or reassess. Corporate records — share issues, transfers, stamping, filings — should be diligenced since inception, because a defect in the first allotment survives every subsequent round and is the one nobody has ever checked.</w:t>
      </w:r>
    </w:p>
    <w:p>
      <w:pPr>
        <w:keepNext/>
        <w:spacing w:after="40" w:before="140"/>
      </w:pPr>
      <w:r>
        <w:rPr>
          <w:rFonts w:ascii="Calibri" w:cs="Calibri" w:eastAsia="Calibri" w:hAnsi="Calibri"/>
          <w:b/>
          <w:bCs/>
          <w:color w:val="14161B"/>
          <w:sz w:val="20"/>
          <w:szCs w:val="20"/>
        </w:rPr>
        <w:t xml:space="preserve">Reconcile the cap table three ways</w:t>
      </w:r>
    </w:p>
    <w:p>
      <w:pPr>
        <w:spacing w:after="60" w:line="264"/>
        <w:jc w:val="both"/>
      </w:pPr>
      <w:r>
        <w:rPr>
          <w:rFonts w:ascii="Calibri" w:cs="Calibri" w:eastAsia="Calibri" w:hAnsi="Calibri"/>
          <w:sz w:val="19"/>
          <w:szCs w:val="19"/>
        </w:rPr>
        <w:t xml:space="preserve">The capitalisation table, the register of members, and the returns of allotment filed with the Registrar should agree. In early-stage companies they frequently do not, usually because an allotment was made and never filed, or a transfer was executed and never registered. Item 2.1 asks for the reconciliation rather than the table alone, which is the difference between finding the problem and not.</w:t>
      </w:r>
    </w:p>
    <w:p>
      <w:pPr>
        <w:keepNext/>
        <w:spacing w:after="40" w:before="140"/>
      </w:pPr>
      <w:r>
        <w:rPr>
          <w:rFonts w:ascii="Calibri" w:cs="Calibri" w:eastAsia="Calibri" w:hAnsi="Calibri"/>
          <w:b/>
          <w:bCs/>
          <w:color w:val="14161B"/>
          <w:sz w:val="20"/>
          <w:szCs w:val="20"/>
        </w:rPr>
        <w:t xml:space="preserve">Undocumented equity promises</w:t>
      </w:r>
    </w:p>
    <w:p>
      <w:pPr>
        <w:spacing w:after="60" w:line="264"/>
        <w:jc w:val="both"/>
      </w:pPr>
      <w:r>
        <w:rPr>
          <w:rFonts w:ascii="Calibri" w:cs="Calibri" w:eastAsia="Calibri" w:hAnsi="Calibri"/>
          <w:sz w:val="19"/>
          <w:szCs w:val="19"/>
        </w:rPr>
        <w:t xml:space="preserve">Item 2.8 asks about promises of equity never reduced to writing. Every early-stage company has at least one — an early employee, an adviser, a friend who helped. They surface at the worst moment, and no warranty catches something nobody remembered to disclose. Ask the question directly and in person as well as on the list.</w:t>
      </w:r>
    </w:p>
    <w:p>
      <w:pPr>
        <w:keepNext/>
        <w:spacing w:after="40" w:before="140"/>
      </w:pPr>
      <w:r>
        <w:rPr>
          <w:rFonts w:ascii="Calibri" w:cs="Calibri" w:eastAsia="Calibri" w:hAnsi="Calibri"/>
          <w:b/>
          <w:bCs/>
          <w:color w:val="14161B"/>
          <w:sz w:val="20"/>
          <w:szCs w:val="20"/>
        </w:rPr>
        <w:t xml:space="preserve">Intellectual property chain of title</w:t>
      </w:r>
    </w:p>
    <w:p>
      <w:pPr>
        <w:spacing w:after="60" w:line="264"/>
        <w:jc w:val="both"/>
      </w:pPr>
      <w:r>
        <w:rPr>
          <w:rFonts w:ascii="Calibri" w:cs="Calibri" w:eastAsia="Calibri" w:hAnsi="Calibri"/>
          <w:sz w:val="19"/>
          <w:szCs w:val="19"/>
        </w:rPr>
        <w:t xml:space="preserve">Items 6.2 and 6.3 are where most seed-stage companies fail. A contractor who was paid but never signed an assignment retains copyright in what they wrote. A domain registered to a founder’s personal email is not the company’s asset. Neither shows up in the financial statements. Ask for the assignment for every single contributor, not a sample.</w:t>
      </w:r>
    </w:p>
    <w:p>
      <w:pPr>
        <w:keepNext/>
        <w:spacing w:after="40" w:before="140"/>
      </w:pPr>
      <w:r>
        <w:rPr>
          <w:rFonts w:ascii="Calibri" w:cs="Calibri" w:eastAsia="Calibri" w:hAnsi="Calibri"/>
          <w:b/>
          <w:bCs/>
          <w:color w:val="14161B"/>
          <w:sz w:val="20"/>
          <w:szCs w:val="20"/>
        </w:rPr>
        <w:t xml:space="preserve">Open source is a real finding</w:t>
      </w:r>
    </w:p>
    <w:p>
      <w:pPr>
        <w:spacing w:after="60" w:line="264"/>
        <w:jc w:val="both"/>
      </w:pPr>
      <w:r>
        <w:rPr>
          <w:rFonts w:ascii="Calibri" w:cs="Calibri" w:eastAsia="Calibri" w:hAnsi="Calibri"/>
          <w:sz w:val="19"/>
          <w:szCs w:val="19"/>
        </w:rPr>
        <w:t xml:space="preserve">Item 6.4 asks for a bill of materials, not an assurance. A copyleft component linked into proprietary code can, on one reading of its licence, require the whole work to be made available on the same terms. It is cheap to scan for and expensive to discover after an acquisition.</w:t>
      </w:r>
    </w:p>
    <w:p>
      <w:pPr>
        <w:keepNext/>
        <w:spacing w:after="40" w:before="140"/>
      </w:pPr>
      <w:r>
        <w:rPr>
          <w:rFonts w:ascii="Calibri" w:cs="Calibri" w:eastAsia="Calibri" w:hAnsi="Calibri"/>
          <w:b/>
          <w:bCs/>
          <w:color w:val="14161B"/>
          <w:sz w:val="20"/>
          <w:szCs w:val="20"/>
        </w:rPr>
        <w:t xml:space="preserve">Employment classification</w:t>
      </w:r>
    </w:p>
    <w:p>
      <w:pPr>
        <w:spacing w:after="60" w:line="264"/>
        <w:jc w:val="both"/>
      </w:pPr>
      <w:r>
        <w:rPr>
          <w:rFonts w:ascii="Calibri" w:cs="Calibri" w:eastAsia="Calibri" w:hAnsi="Calibri"/>
          <w:sz w:val="19"/>
          <w:szCs w:val="19"/>
        </w:rPr>
        <w:t xml:space="preserve">Item 5.14 asks for the basis on which anyone is classified as a consultant. Misclassification creates retrospective exposure to social security contributions, interest and penalty, and it is the single most common labour finding in a technology company. Read the actual contracts and compare them to how the person is really engaged — fixed hours, company equipment, a reporting line and an appraisal are the markers.</w:t>
      </w:r>
    </w:p>
    <w:p>
      <w:pPr>
        <w:keepNext/>
        <w:spacing w:after="40" w:before="140"/>
      </w:pPr>
      <w:r>
        <w:rPr>
          <w:rFonts w:ascii="Calibri" w:cs="Calibri" w:eastAsia="Calibri" w:hAnsi="Calibri"/>
          <w:b/>
          <w:bCs/>
          <w:color w:val="14161B"/>
          <w:sz w:val="20"/>
          <w:szCs w:val="20"/>
        </w:rPr>
        <w:t xml:space="preserve">Input tax credit reconciliation</w:t>
      </w:r>
    </w:p>
    <w:p>
      <w:pPr>
        <w:spacing w:after="60" w:line="264"/>
        <w:jc w:val="both"/>
      </w:pPr>
      <w:r>
        <w:rPr>
          <w:rFonts w:ascii="Calibri" w:cs="Calibri" w:eastAsia="Calibri" w:hAnsi="Calibri"/>
          <w:sz w:val="19"/>
          <w:szCs w:val="19"/>
        </w:rPr>
        <w:t xml:space="preserve">Item 4.7 matters because credit availed on an invoice from a supplier who did not file its own return can be denied to the buyer. The exposure sits with the company being diligenced, not with the defaulting supplier, and it compounds with interest. Ask for the reconciliation rather than the returns alone.</w:t>
      </w:r>
    </w:p>
    <w:p>
      <w:pPr>
        <w:keepNext/>
        <w:spacing w:after="40" w:before="140"/>
      </w:pPr>
      <w:r>
        <w:rPr>
          <w:rFonts w:ascii="Calibri" w:cs="Calibri" w:eastAsia="Calibri" w:hAnsi="Calibri"/>
          <w:b/>
          <w:bCs/>
          <w:color w:val="14161B"/>
          <w:sz w:val="20"/>
          <w:szCs w:val="20"/>
        </w:rPr>
        <w:t xml:space="preserve">Data protection readiness</w:t>
      </w:r>
    </w:p>
    <w:p>
      <w:pPr>
        <w:spacing w:after="60" w:line="264"/>
        <w:jc w:val="both"/>
      </w:pPr>
      <w:r>
        <w:rPr>
          <w:rFonts w:ascii="Calibri" w:cs="Calibri" w:eastAsia="Calibri" w:hAnsi="Calibri"/>
          <w:sz w:val="19"/>
          <w:szCs w:val="19"/>
        </w:rPr>
        <w:t xml:space="preserve">The obligations under the current data protection framework are being brought into force in phases. Diligence should therefore ask two different questions: is the company compliant with what is in force today, and does it have a credible plan for what is coming. Treat the second as a covenant or a condition rather than as a warranty, and price the build cost into the plan.</w:t>
      </w:r>
    </w:p>
    <w:p>
      <w:pPr>
        <w:keepNext/>
        <w:spacing w:after="40" w:before="140"/>
      </w:pPr>
      <w:r>
        <w:rPr>
          <w:rFonts w:ascii="Calibri" w:cs="Calibri" w:eastAsia="Calibri" w:hAnsi="Calibri"/>
          <w:b/>
          <w:bCs/>
          <w:color w:val="14161B"/>
          <w:sz w:val="20"/>
          <w:szCs w:val="20"/>
        </w:rPr>
        <w:t xml:space="preserve">Stamping is boring and expensive</w:t>
      </w:r>
    </w:p>
    <w:p>
      <w:pPr>
        <w:spacing w:after="60" w:line="264"/>
        <w:jc w:val="both"/>
      </w:pPr>
      <w:r>
        <w:rPr>
          <w:rFonts w:ascii="Calibri" w:cs="Calibri" w:eastAsia="Calibri" w:hAnsi="Calibri"/>
          <w:sz w:val="19"/>
          <w:szCs w:val="19"/>
        </w:rPr>
        <w:t xml:space="preserve">Items 1.6 and 4.11. Unstamped or understamped share certificates, transfer deeds, leases and agreements are inadmissible in evidence until duty and penalty are paid. They are found in almost every diligence and are almost always fixable, but the fix takes time and should be a condition precedent rather than a post-completion undertaking.</w:t>
      </w:r>
    </w:p>
    <w:p>
      <w:pPr>
        <w:keepNext/>
        <w:spacing w:after="40" w:before="140"/>
      </w:pPr>
      <w:r>
        <w:rPr>
          <w:rFonts w:ascii="Calibri" w:cs="Calibri" w:eastAsia="Calibri" w:hAnsi="Calibri"/>
          <w:b/>
          <w:bCs/>
          <w:color w:val="14161B"/>
          <w:sz w:val="20"/>
          <w:szCs w:val="20"/>
        </w:rPr>
        <w:t xml:space="preserve">Red flags to escalate immediately</w:t>
      </w:r>
    </w:p>
    <w:p>
      <w:pPr>
        <w:spacing w:after="60" w:line="264"/>
        <w:jc w:val="both"/>
      </w:pPr>
      <w:r>
        <w:rPr>
          <w:rFonts w:ascii="Calibri" w:cs="Calibri" w:eastAsia="Calibri" w:hAnsi="Calibri"/>
          <w:sz w:val="19"/>
          <w:szCs w:val="19"/>
        </w:rPr>
        <w:t xml:space="preserve">Any allotment not reported to the Registrar; any foreign investment not reported to the authorised dealer bank within the prescribed period; any intellectual property registered in a personal name; any undocumented equity promise; any employee classified as a consultant who works fixed hours on company equipment; any related party transaction without approval; any pending search, survey or summons from a tax authority. Each of these is a condition precedent, not a warranty.</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Scope the list to the sector and stage of the target — a regulated business will need a substantial additional section, and a pre-revenue company will not need most of Section 8.</w:t>
      </w:r>
    </w:p>
    <w:sectPr>
      <w:footerReference w:type="default" r:id="rId11"/>
      <w:footerReference w:type="first" r:id="rId12"/>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2026-08-21T12:53:53.388Z</dcterms:created>
  <dcterms:modified xsi:type="dcterms:W3CDTF">2026-08-21T12:53:53.388Z</dcterms:modified>
</cp:coreProperties>
</file>

<file path=docProps/custom.xml><?xml version="1.0" encoding="utf-8"?>
<Properties xmlns="http://schemas.openxmlformats.org/officeDocument/2006/custom-properties" xmlns:vt="http://schemas.openxmlformats.org/officeDocument/2006/docPropsVTypes"/>
</file>