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PROCESSING AGREEMENT</w:t>
      </w:r>
    </w:p>
    <w:p>
      <w:pPr>
        <w:spacing w:after="260"/>
        <w:jc w:val="center"/>
      </w:pPr>
      <w:r>
        <w:rPr>
          <w:rFonts w:ascii="Calibri" w:cs="Calibri" w:eastAsia="Calibri" w:hAnsi="Calibri"/>
          <w:i/>
          <w:iCs/>
          <w:color w:val="6E7480"/>
          <w:sz w:val="19"/>
          <w:szCs w:val="19"/>
        </w:rPr>
        <w:t xml:space="preserve">Digital Personal Data Protection Act, 2023 and DPDP Rules, 2025</w:t>
      </w:r>
    </w:p>
    <w:p>
      <w:pPr>
        <w:spacing w:after="180" w:before="0" w:line="276"/>
        <w:jc w:val="both"/>
      </w:pPr>
      <w:r>
        <w:rPr>
          <w:rFonts w:ascii="Calibri" w:cs="Calibri" w:eastAsia="Calibri" w:hAnsi="Calibri"/>
          <w:i/>
          <w:iCs/>
          <w:color w:val="6E7480"/>
          <w:sz w:val="21"/>
          <w:szCs w:val="21"/>
        </w:rPr>
        <w:t xml:space="preserve">A processing agreement is only as good as the instructions in it. Draft the schedule describing what is processed, why, and for how long with real care — a well-drafted set of obligations attached to a vague description of the processing protects nobody.</w:t>
      </w:r>
    </w:p>
    <w:p>
      <w:pPr>
        <w:spacing w:after="160" w:before="0" w:line="276"/>
        <w:jc w:val="both"/>
      </w:pPr>
      <w:r>
        <w:rPr>
          <w:rFonts w:ascii="Calibri" w:cs="Calibri" w:eastAsia="Calibri" w:hAnsi="Calibri"/>
          <w:sz w:val="21"/>
          <w:szCs w:val="21"/>
        </w:rPr>
        <w:t xml:space="preserve">This Data Processing Agreement (this "</w:t>
      </w:r>
      <w:r>
        <w:rPr>
          <w:rFonts w:ascii="Calibri" w:cs="Calibri" w:eastAsia="Calibri" w:hAnsi="Calibri"/>
          <w:b/>
          <w:bCs/>
          <w:sz w:val="21"/>
          <w:szCs w:val="21"/>
        </w:rPr>
        <w:t xml:space="preserve">DPA</w:t>
      </w:r>
      <w:r>
        <w:rPr>
          <w:rFonts w:ascii="Calibri" w:cs="Calibri" w:eastAsia="Calibri" w:hAnsi="Calibri"/>
          <w:sz w:val="21"/>
          <w:szCs w:val="21"/>
        </w:rPr>
        <w:t xml:space="preserve">") is made at </w:t>
      </w:r>
      <w:r>
        <w:rPr>
          <w:rFonts w:ascii="Calibri" w:cs="Calibri" w:eastAsia="Calibri" w:hAnsi="Calibri"/>
          <w:b/>
          <w:bCs/>
          <w:sz w:val="21"/>
          <w:szCs w:val="21"/>
        </w:rPr>
        <w:t xml:space="preserve">[PLACE OF EXECUTION]</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Effective Date</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BY AND BETWEEN</w:t>
      </w:r>
    </w:p>
    <w:p>
      <w:pPr>
        <w:spacing w:after="120" w:before="0" w:line="276"/>
        <w:jc w:val="both"/>
      </w:pPr>
      <w:r>
        <w:rPr>
          <w:rFonts w:ascii="Calibri" w:cs="Calibri" w:eastAsia="Calibri" w:hAnsi="Calibri"/>
          <w:b/>
          <w:bCs/>
          <w:sz w:val="21"/>
          <w:szCs w:val="21"/>
        </w:rPr>
        <w:t xml:space="preserve">[DATA FIDUCIARY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Data Fiduciary</w:t>
      </w:r>
      <w:r>
        <w:rPr>
          <w:rFonts w:ascii="Calibri" w:cs="Calibri" w:eastAsia="Calibri" w:hAnsi="Calibri"/>
          <w:sz w:val="21"/>
          <w:szCs w:val="21"/>
        </w:rPr>
        <w:t xml:space="preserve">") of the ONE PART;</w:t>
      </w:r>
    </w:p>
    <w:p>
      <w:pPr>
        <w:spacing w:after="100" w:before="0" w:line="276"/>
        <w:jc w:val="both"/>
      </w:pPr>
      <w:r>
        <w:rPr>
          <w:rFonts w:ascii="Calibri" w:cs="Calibri" w:eastAsia="Calibri" w:hAnsi="Calibri"/>
          <w:b/>
          <w:bCs/>
          <w:sz w:val="21"/>
          <w:szCs w:val="21"/>
        </w:rPr>
        <w:t xml:space="preserve">AND</w:t>
      </w:r>
    </w:p>
    <w:p>
      <w:pPr>
        <w:spacing w:after="160" w:before="0" w:line="276"/>
        <w:jc w:val="both"/>
      </w:pPr>
      <w:r>
        <w:rPr>
          <w:rFonts w:ascii="Calibri" w:cs="Calibri" w:eastAsia="Calibri" w:hAnsi="Calibri"/>
          <w:b/>
          <w:bCs/>
          <w:sz w:val="21"/>
          <w:szCs w:val="21"/>
        </w:rPr>
        <w:t xml:space="preserve">[DATA PROCESSOR NAME]</w:t>
      </w:r>
      <w:r>
        <w:rPr>
          <w:rFonts w:ascii="Calibri" w:cs="Calibri" w:eastAsia="Calibri" w:hAnsi="Calibri"/>
          <w:sz w:val="21"/>
          <w:szCs w:val="21"/>
        </w:rPr>
        <w:t xml:space="preserve">, </w:t>
      </w:r>
      <w:r>
        <w:rPr>
          <w:rFonts w:ascii="Calibri" w:cs="Calibri" w:eastAsia="Calibri" w:hAnsi="Calibri"/>
          <w:b/>
          <w:bCs/>
          <w:sz w:val="21"/>
          <w:szCs w:val="21"/>
        </w:rPr>
        <w:t xml:space="preserve">[CONSTITUTION]</w:t>
      </w:r>
      <w:r>
        <w:rPr>
          <w:rFonts w:ascii="Calibri" w:cs="Calibri" w:eastAsia="Calibri" w:hAnsi="Calibri"/>
          <w:sz w:val="21"/>
          <w:szCs w:val="21"/>
        </w:rPr>
        <w:t xml:space="preserve"> bearing </w:t>
      </w:r>
      <w:r>
        <w:rPr>
          <w:rFonts w:ascii="Calibri" w:cs="Calibri" w:eastAsia="Calibri" w:hAnsi="Calibri"/>
          <w:b/>
          <w:bCs/>
          <w:sz w:val="21"/>
          <w:szCs w:val="21"/>
        </w:rPr>
        <w:t xml:space="preserve">[CIN / LLPIN]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[REGISTERED OFFICE ADDRESS]</w:t>
      </w:r>
      <w:r>
        <w:rPr>
          <w:rFonts w:ascii="Calibri" w:cs="Calibri" w:eastAsia="Calibri" w:hAnsi="Calibri"/>
          <w:sz w:val="21"/>
          <w:szCs w:val="21"/>
        </w:rPr>
        <w:t xml:space="preserve"> (the "</w:t>
      </w:r>
      <w:r>
        <w:rPr>
          <w:rFonts w:ascii="Calibri" w:cs="Calibri" w:eastAsia="Calibri" w:hAnsi="Calibri"/>
          <w:b/>
          <w:bCs/>
          <w:sz w:val="21"/>
          <w:szCs w:val="21"/>
        </w:rPr>
        <w:t xml:space="preserve">Data Processor</w:t>
      </w:r>
      <w:r>
        <w:rPr>
          <w:rFonts w:ascii="Calibri" w:cs="Calibri" w:eastAsia="Calibri" w:hAnsi="Calibri"/>
          <w:sz w:val="21"/>
          <w:szCs w:val="21"/>
        </w:rPr>
        <w:t xml:space="preserve">") of the OTHER PART.</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Parties have entered into an agreement dated </w:t>
      </w:r>
      <w:r>
        <w:rPr>
          <w:rFonts w:ascii="Calibri" w:cs="Calibri" w:eastAsia="Calibri" w:hAnsi="Calibri"/>
          <w:b/>
          <w:bCs/>
          <w:sz w:val="21"/>
          <w:szCs w:val="21"/>
        </w:rPr>
        <w:t xml:space="preserve">[DATE OF PRINCIPAL AGREEMENT]</w:t>
      </w:r>
      <w:r>
        <w:rPr>
          <w:rFonts w:ascii="Calibri" w:cs="Calibri" w:eastAsia="Calibri" w:hAnsi="Calibri"/>
          <w:sz w:val="21"/>
          <w:szCs w:val="21"/>
        </w:rPr>
        <w:t xml:space="preserve"> for the provision of </w:t>
      </w:r>
      <w:r>
        <w:rPr>
          <w:rFonts w:ascii="Calibri" w:cs="Calibri" w:eastAsia="Calibri" w:hAnsi="Calibri"/>
          <w:b/>
          <w:bCs/>
          <w:sz w:val="21"/>
          <w:szCs w:val="21"/>
        </w:rPr>
        <w:t xml:space="preserve">[DESCRIBE SERVICES]</w:t>
      </w:r>
      <w:r>
        <w:rPr>
          <w:rFonts w:ascii="Calibri" w:cs="Calibri" w:eastAsia="Calibri" w:hAnsi="Calibri"/>
          <w:sz w:val="21"/>
          <w:szCs w:val="21"/>
        </w:rPr>
        <w:t xml:space="preserve"> (the "</w:t>
      </w:r>
      <w:r>
        <w:rPr>
          <w:rFonts w:ascii="Calibri" w:cs="Calibri" w:eastAsia="Calibri" w:hAnsi="Calibri"/>
          <w:b/>
          <w:bCs/>
          <w:sz w:val="21"/>
          <w:szCs w:val="21"/>
        </w:rPr>
        <w:t xml:space="preserve">Principal Agreement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 the course of providing services under the Principal Agreement, the Data Processor will process personal data on behalf of the Data Fiduciary.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Section 8(2) of the Digital Personal Data Protection Act, 2023 permits a Data Fiduciary to engage a Data Processor to process personal data on its behalf only under a valid contract. This DPA is that contract.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Parties record that the Digital Personal Data Protection Rules, 2025 were notified on 13 November 2025 and are being brought into force in phases, with the principal substantive obligations relating to notice, consent, security safeguards, breach intimation, retention and Data Principal rights taking effect on 13 May 2027. The Parties intend this DPA to operate on a compliant basis from the Effective Date.</w:t>
      </w:r>
    </w:p>
    <w:p>
      <w:pPr>
        <w:spacing w:after="120" w:before="120" w:line="276"/>
        <w:jc w:val="both"/>
      </w:pPr>
      <w:r>
        <w:rPr>
          <w:rFonts w:ascii="Calibri" w:cs="Calibri" w:eastAsia="Calibri" w:hAnsi="Calibri"/>
          <w:sz w:val="21"/>
          <w:szCs w:val="21"/>
        </w:rPr>
        <w:t xml:space="preserve">NOW THEREFORE the Parties agree as follows:</w:t>
      </w:r>
    </w:p>
    <w:p>
      <w:pPr>
        <w:keepNext/>
        <w:spacing w:after="120" w:before="280"/>
        <w:outlineLvl w:val="0"/>
      </w:pPr>
      <w:r>
        <w:rPr>
          <w:rFonts w:ascii="Calibri" w:cs="Calibri" w:eastAsia="Calibri" w:hAnsi="Calibri"/>
          <w:b/>
          <w:bCs/>
          <w:color w:val="14161B"/>
          <w:sz w:val="22"/>
          <w:szCs w:val="22"/>
        </w:rPr>
        <w:t xml:space="preserve">1.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Terms defined in the Act have the same meaning in this DPA. In particular: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t>
      </w:r>
      <w:r>
        <w:rPr>
          <w:rFonts w:ascii="Calibri" w:cs="Calibri" w:eastAsia="Calibri" w:hAnsi="Calibri"/>
          <w:b/>
          <w:bCs/>
          <w:sz w:val="21"/>
          <w:szCs w:val="21"/>
        </w:rPr>
        <w:t xml:space="preserve">Act</w:t>
      </w:r>
      <w:r>
        <w:rPr>
          <w:rFonts w:ascii="Calibri" w:cs="Calibri" w:eastAsia="Calibri" w:hAnsi="Calibri"/>
          <w:sz w:val="21"/>
          <w:szCs w:val="21"/>
        </w:rPr>
        <w:t xml:space="preserve">" means the Digital Personal Data Protection Act, 2023;</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w:t>
      </w:r>
      <w:r>
        <w:rPr>
          <w:rFonts w:ascii="Calibri" w:cs="Calibri" w:eastAsia="Calibri" w:hAnsi="Calibri"/>
          <w:b/>
          <w:bCs/>
          <w:sz w:val="21"/>
          <w:szCs w:val="21"/>
        </w:rPr>
        <w:t xml:space="preserve">Rules</w:t>
      </w:r>
      <w:r>
        <w:rPr>
          <w:rFonts w:ascii="Calibri" w:cs="Calibri" w:eastAsia="Calibri" w:hAnsi="Calibri"/>
          <w:sz w:val="21"/>
          <w:szCs w:val="21"/>
        </w:rPr>
        <w:t xml:space="preserve">" means the Digital Personal Data Protection Rules, 2025 notified under Section 40 of the Act;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w:t>
      </w:r>
      <w:r>
        <w:rPr>
          <w:rFonts w:ascii="Calibri" w:cs="Calibri" w:eastAsia="Calibri" w:hAnsi="Calibri"/>
          <w:b/>
          <w:bCs/>
          <w:sz w:val="21"/>
          <w:szCs w:val="21"/>
        </w:rPr>
        <w:t xml:space="preserve">Board</w:t>
      </w:r>
      <w:r>
        <w:rPr>
          <w:rFonts w:ascii="Calibri" w:cs="Calibri" w:eastAsia="Calibri" w:hAnsi="Calibri"/>
          <w:sz w:val="21"/>
          <w:szCs w:val="21"/>
        </w:rPr>
        <w:t xml:space="preserve">" means the Data Protection Board of India constituted under Section 18 of the Act;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w:t>
      </w:r>
      <w:r>
        <w:rPr>
          <w:rFonts w:ascii="Calibri" w:cs="Calibri" w:eastAsia="Calibri" w:hAnsi="Calibri"/>
          <w:b/>
          <w:bCs/>
          <w:sz w:val="21"/>
          <w:szCs w:val="21"/>
        </w:rPr>
        <w:t xml:space="preserve">Data Principal</w:t>
      </w:r>
      <w:r>
        <w:rPr>
          <w:rFonts w:ascii="Calibri" w:cs="Calibri" w:eastAsia="Calibri" w:hAnsi="Calibri"/>
          <w:sz w:val="21"/>
          <w:szCs w:val="21"/>
        </w:rPr>
        <w:t xml:space="preserve">" means the individual to whom the Personal Data relates, and where the individual is a child, includes the parent or lawful guardian;</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w:t>
      </w:r>
      <w:r>
        <w:rPr>
          <w:rFonts w:ascii="Calibri" w:cs="Calibri" w:eastAsia="Calibri" w:hAnsi="Calibri"/>
          <w:b/>
          <w:bCs/>
          <w:sz w:val="21"/>
          <w:szCs w:val="21"/>
        </w:rPr>
        <w:t xml:space="preserve">Personal Data</w:t>
      </w:r>
      <w:r>
        <w:rPr>
          <w:rFonts w:ascii="Calibri" w:cs="Calibri" w:eastAsia="Calibri" w:hAnsi="Calibri"/>
          <w:sz w:val="21"/>
          <w:szCs w:val="21"/>
        </w:rPr>
        <w:t xml:space="preserve">" means any data about an individual who is identifiable by or in relation to such data, processed by the Data Processor on behalf of the Data Fiduciary under the Principal Agreement, as described in Annexure A;</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w:t>
      </w:r>
      <w:r>
        <w:rPr>
          <w:rFonts w:ascii="Calibri" w:cs="Calibri" w:eastAsia="Calibri" w:hAnsi="Calibri"/>
          <w:b/>
          <w:bCs/>
          <w:sz w:val="21"/>
          <w:szCs w:val="21"/>
        </w:rPr>
        <w:t xml:space="preserve">Personal Data Breach</w:t>
      </w:r>
      <w:r>
        <w:rPr>
          <w:rFonts w:ascii="Calibri" w:cs="Calibri" w:eastAsia="Calibri" w:hAnsi="Calibri"/>
          <w:sz w:val="21"/>
          <w:szCs w:val="21"/>
        </w:rPr>
        <w:t xml:space="preserve">" means any unauthorised processing of Personal Data, or accidental disclosure, acquisition, sharing, use, alteration, destruction or loss of access to Personal Data, that compromises its confidentiality, integrity or availability;</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w:t>
      </w:r>
      <w:r>
        <w:rPr>
          <w:rFonts w:ascii="Calibri" w:cs="Calibri" w:eastAsia="Calibri" w:hAnsi="Calibri"/>
          <w:b/>
          <w:bCs/>
          <w:sz w:val="21"/>
          <w:szCs w:val="21"/>
        </w:rPr>
        <w:t xml:space="preserve">Processing</w:t>
      </w:r>
      <w:r>
        <w:rPr>
          <w:rFonts w:ascii="Calibri" w:cs="Calibri" w:eastAsia="Calibri" w:hAnsi="Calibri"/>
          <w:sz w:val="21"/>
          <w:szCs w:val="21"/>
        </w:rPr>
        <w:t xml:space="preserve">" means a wholly or partly automated operation or set of operations performed on digital Personal Data, including collection, recording, organisation, structuring, storage, adaptation, retrieval, use, alignment, combination, indexing, sharing, disclosure by transmission, dissemination, restriction, erasure or destruction;</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w:t>
      </w:r>
      <w:r>
        <w:rPr>
          <w:rFonts w:ascii="Calibri" w:cs="Calibri" w:eastAsia="Calibri" w:hAnsi="Calibri"/>
          <w:b/>
          <w:bCs/>
          <w:sz w:val="21"/>
          <w:szCs w:val="21"/>
        </w:rPr>
        <w:t xml:space="preserve">Sub-processor</w:t>
      </w:r>
      <w:r>
        <w:rPr>
          <w:rFonts w:ascii="Calibri" w:cs="Calibri" w:eastAsia="Calibri" w:hAnsi="Calibri"/>
          <w:sz w:val="21"/>
          <w:szCs w:val="21"/>
        </w:rPr>
        <w:t xml:space="preserve">" means any third party engaged by the Data Processor to carry out any Processing on behalf of the Data Fiduciary.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DPA supplements the Principal Agreement. In the event of conflict in relation to the Processing of Personal Data, this DPA prevails.</w:t>
      </w:r>
    </w:p>
    <w:p>
      <w:pPr>
        <w:keepNext/>
        <w:spacing w:after="120" w:before="280"/>
        <w:outlineLvl w:val="0"/>
      </w:pPr>
      <w:r>
        <w:rPr>
          <w:rFonts w:ascii="Calibri" w:cs="Calibri" w:eastAsia="Calibri" w:hAnsi="Calibri"/>
          <w:b/>
          <w:bCs/>
          <w:color w:val="14161B"/>
          <w:sz w:val="22"/>
          <w:szCs w:val="22"/>
        </w:rPr>
        <w:t xml:space="preserve">2. ROLES OF THE PARTIES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Data Fiduciary determines the purpose and means of the Processing and is responsible for compliance with the Act in respect of it, including the giving of notice and, where consent is the lawful basis, the obtaining and management of consent.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Data Processor processes Personal Data solely on behalf of and under the authority of the Data Fiduciary. The Data Processor shall not, in respect of the Personal Data, act as a Data Fiduciary in its own right, and shall not determine any purpose of Processing.</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Data Fiduciary warrants that it has a lawful basis under the Act for the Processing instructed, that any required notice has been given and consent obtained in the form required by Rule 3 of the Rules, and that its instructions do not require the Data Processor to act in breach of the Act.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Nothing in this DPA relieves the Data Fiduciary of its obligation under Section 8(1) of the Act to remain responsible for compliance in respect of Processing undertaken on its behalf.</w:t>
      </w:r>
    </w:p>
    <w:p>
      <w:pPr>
        <w:keepNext/>
        <w:spacing w:after="120" w:before="280"/>
        <w:outlineLvl w:val="0"/>
      </w:pPr>
      <w:r>
        <w:rPr>
          <w:rFonts w:ascii="Calibri" w:cs="Calibri" w:eastAsia="Calibri" w:hAnsi="Calibri"/>
          <w:b/>
          <w:bCs/>
          <w:color w:val="14161B"/>
          <w:sz w:val="22"/>
          <w:szCs w:val="22"/>
        </w:rPr>
        <w:t xml:space="preserve">3. SCOPE, SUBJECT MATTER AND DURATION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subject matter, nature and purpose of the Processing, the categories of Personal Data and of Data Principals, and the retention period, are set out in </w:t>
      </w:r>
      <w:r>
        <w:rPr>
          <w:rFonts w:ascii="Calibri" w:cs="Calibri" w:eastAsia="Calibri" w:hAnsi="Calibri"/>
          <w:b/>
          <w:bCs/>
          <w:sz w:val="21"/>
          <w:szCs w:val="21"/>
        </w:rPr>
        <w:t xml:space="preserve">Annexure A</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Processing shall continue for the term of the Principal Agreement and shall cease on its expiry or termination, subject to Clause 12.</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Data Fiduciary may amend Annexure A on written notice where required by a change in the services. The Data Processor shall notify the Data Fiduciary if, in its opinion, an amended instruction would breach the Act.</w:t>
      </w:r>
    </w:p>
    <w:p>
      <w:pPr>
        <w:keepNext/>
        <w:spacing w:after="120" w:before="280"/>
        <w:outlineLvl w:val="0"/>
      </w:pPr>
      <w:r>
        <w:rPr>
          <w:rFonts w:ascii="Calibri" w:cs="Calibri" w:eastAsia="Calibri" w:hAnsi="Calibri"/>
          <w:b/>
          <w:bCs/>
          <w:color w:val="14161B"/>
          <w:sz w:val="22"/>
          <w:szCs w:val="22"/>
        </w:rPr>
        <w:t xml:space="preserve">4. OBLIGATIONS OF THE DATA PROCESSOR</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Data Processor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process Personal Data only on the documented instructions of the Data Fiduciary, including as set out in this DPA and Annexure A, and not for any purpose of its own, including product development, analytics, benchmarking, training of models or marketing;</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not sell, rent, licence, publish or otherwise disclose Personal Data to any third party except as instructed or as required by law;</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immediately inform the Data Fiduciary if it considers that an instruction infringes the Act or the Rules, and pause the affected Processing pending the Data Fiduciary’s written direction;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ensure that every person authorised to process the Personal Data is subject to a binding obligation of confidentiality that survives the termination of their engagement, has been given training appropriate to their role, and is granted access on a least-privilege, need-to-know basis;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maintain a record of Processing activities carried out on behalf of the Data Fiduciary, including the categories of Processing, the locations of Processing and storage, and the Sub-processors engaged, and make that record available to the Data Fiduciary on request;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not process Personal Data outside the territories notified in Annexure A without the Data Fiduciary’s prior written consent;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comply with all directions issued to the Data Fiduciary by the Board to the extent they relate to the Processing, and cooperate with the Board where required.</w:t>
      </w:r>
    </w:p>
    <w:p>
      <w:pPr>
        <w:keepNext/>
        <w:spacing w:after="120" w:before="280"/>
        <w:outlineLvl w:val="0"/>
      </w:pPr>
      <w:r>
        <w:rPr>
          <w:rFonts w:ascii="Calibri" w:cs="Calibri" w:eastAsia="Calibri" w:hAnsi="Calibri"/>
          <w:b/>
          <w:bCs/>
          <w:color w:val="14161B"/>
          <w:sz w:val="22"/>
          <w:szCs w:val="22"/>
        </w:rPr>
        <w:t xml:space="preserve">5. SECURITY SAFEGUARDS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Data Processor shall implement and maintain reasonable security safeguards to prevent a Personal Data Breach, of at least the standard prescribed by Rule 6 of the Rules, including: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encryption, obfuscation, masking or the use of virtual tokens mapped to the Personal Data;</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control of access to the computer resources used to process the Personal Data;</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visibility over who has accessed the Personal Data and what was done with it, through logs, monitoring and review, with such logs retained for a period of not less than one year;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measures for continued processing in the event of loss of access, including reasonable backup arrangements that are themselves protected to the same standard;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measures to detect unauthorised access and to enable investigation, remediation and prevention of recurrence;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appropriate contractual and technical measures binding any person acting on its behalf.</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technical and organisational measures in force as at the Effective Date are described in </w:t>
      </w:r>
      <w:r>
        <w:rPr>
          <w:rFonts w:ascii="Calibri" w:cs="Calibri" w:eastAsia="Calibri" w:hAnsi="Calibri"/>
          <w:b/>
          <w:bCs/>
          <w:sz w:val="21"/>
          <w:szCs w:val="21"/>
        </w:rPr>
        <w:t xml:space="preserve">Annexure B</w:t>
      </w:r>
      <w:r>
        <w:rPr>
          <w:rFonts w:ascii="Calibri" w:cs="Calibri" w:eastAsia="Calibri" w:hAnsi="Calibri"/>
          <w:sz w:val="21"/>
          <w:szCs w:val="21"/>
        </w:rPr>
        <w:t xml:space="preserve">. The Data Processor may update them, provided the level of protection is not reduced, and shall notify the Data Fiduciary of any material change.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Data Processor shall not store Personal Data on unmanaged devices, in personal accounts, or in any environment that is not covered by the measures in Annexure B.</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Data Processor shall conduct vulnerability assessment and penetration testing of the systems used to process the Personal Data at least </w:t>
      </w:r>
      <w:r>
        <w:rPr>
          <w:rFonts w:ascii="Calibri" w:cs="Calibri" w:eastAsia="Calibri" w:hAnsi="Calibri"/>
          <w:b/>
          <w:bCs/>
          <w:sz w:val="21"/>
          <w:szCs w:val="21"/>
        </w:rPr>
        <w:t xml:space="preserve">[FREQUENCY — e.g. annually]</w:t>
      </w:r>
      <w:r>
        <w:rPr>
          <w:rFonts w:ascii="Calibri" w:cs="Calibri" w:eastAsia="Calibri" w:hAnsi="Calibri"/>
          <w:sz w:val="21"/>
          <w:szCs w:val="21"/>
        </w:rPr>
        <w:t xml:space="preserve"> and shall remediate findings within a reasonable period appropriate to their severity.</w:t>
      </w:r>
    </w:p>
    <w:p>
      <w:pPr>
        <w:keepNext/>
        <w:spacing w:after="120" w:before="280"/>
        <w:outlineLvl w:val="0"/>
      </w:pPr>
      <w:r>
        <w:rPr>
          <w:rFonts w:ascii="Calibri" w:cs="Calibri" w:eastAsia="Calibri" w:hAnsi="Calibri"/>
          <w:b/>
          <w:bCs/>
          <w:color w:val="14161B"/>
          <w:sz w:val="22"/>
          <w:szCs w:val="22"/>
        </w:rPr>
        <w:t xml:space="preserve">6. SUB-PROCESSING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Data Processor shall not engage any Sub-processor without the prior written authorisation of the Data Fiduciary. The Sub-processors authorised as at the Effective Date are listed in </w:t>
      </w:r>
      <w:r>
        <w:rPr>
          <w:rFonts w:ascii="Calibri" w:cs="Calibri" w:eastAsia="Calibri" w:hAnsi="Calibri"/>
          <w:b/>
          <w:bCs/>
          <w:sz w:val="21"/>
          <w:szCs w:val="21"/>
        </w:rPr>
        <w:t xml:space="preserve">Annexure C</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Data Processor shall give the Data Fiduciary at least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of any intended addition or replacement of a Sub-processor. The Data Fiduciary may object on reasonable grounds within that period, in which case the Parties shall discuss the objection in good faith; if it is not resolved, the Data Fiduciary may terminate the affected services without liability.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Data Processor shall impose on each Sub-processor, by written contract, obligations no less protective than those in this DPA, and shall remain fully liable to the Data Fiduciary for the acts and omissions of each Sub-processor as if they were its own.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Data Processor shall provide a copy of the relevant data protection terms of each Sub-processor contract on request, redacted only as to commercial terms.</w:t>
      </w:r>
    </w:p>
    <w:p>
      <w:pPr>
        <w:keepNext/>
        <w:spacing w:after="120" w:before="280"/>
        <w:outlineLvl w:val="0"/>
      </w:pPr>
      <w:r>
        <w:rPr>
          <w:rFonts w:ascii="Calibri" w:cs="Calibri" w:eastAsia="Calibri" w:hAnsi="Calibri"/>
          <w:b/>
          <w:bCs/>
          <w:color w:val="14161B"/>
          <w:sz w:val="22"/>
          <w:szCs w:val="22"/>
        </w:rPr>
        <w:t xml:space="preserve">7. ASSISTANCE WITH DATA PRINCIPAL RIGHTS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Data Processor shall not respond directly to any communication from a Data Principal in relation to the Personal Data, unless instructed in writing to do so. It shall forward any such communication to the Data Fiduciary within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of receipt.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Data Processor shall provide the Data Fiduciary with all reasonable and timely assistance, at no additional charge except where the assistance requested is materially beyond the ordinary course, to enable the Data Fiduciary to respond within the periods prescribed under the Rules to a Data Principal exercising:</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right to obtain a summary of the Personal Data processed and of the processing activities undertaken, and the identities of other Data Fiduciaries and processors with whom it has been shared, under Section 11 of the Act;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right to correction, completion, updating and erasure of Personal Data under Section 12 of the Act;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right of grievance redressal under Section 13 of the Act;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right to nominate another individual under Section 14 of the Act.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Where the Data Fiduciary instructs erasure, the Data Processor shall erase the Personal Data, and shall procure erasure by each Sub-processor,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the instruction, and shall confirm erasure in writing with sufficient particulars for the Data Fiduciary to evidence compliance.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Data Processor shall implement the technical capability to authenticate an erasure or correction instruction and to record the action taken, so that the Data Fiduciary can demonstrate compliance.</w:t>
      </w:r>
    </w:p>
    <w:p>
      <w:pPr>
        <w:keepNext/>
        <w:spacing w:after="120" w:before="280"/>
        <w:outlineLvl w:val="0"/>
      </w:pPr>
      <w:r>
        <w:rPr>
          <w:rFonts w:ascii="Calibri" w:cs="Calibri" w:eastAsia="Calibri" w:hAnsi="Calibri"/>
          <w:b/>
          <w:bCs/>
          <w:color w:val="14161B"/>
          <w:sz w:val="22"/>
          <w:szCs w:val="22"/>
        </w:rPr>
        <w:t xml:space="preserve">8. PERSONAL DATA BREACH</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Data Processor shall intimate the Data Fiduciary of any Personal Data Breach affecting the Personal Data without delay, and in any event within twenty-four (24) hours of becoming aware of it, at the contact address in Clause 15 and by telephone to the person named in Annexure A.</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intimation shall include, to the extent known: the nature, extent and timing of the breach; the location and cause of the breach; the categories and approximate number of Data Principals and records affected; the likely consequences; the measures taken or proposed to remedy and contain it; and the contact point for further information. Information not available at the time of first intimation shall be provided as soon as it becomes available and in any event within seventy-two (72) hours of the first intimation.</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Data Processor shall not delay intimation in order to complete its investigation, and shall not make any public statement or notification to any Data Principal or to the Board in relation to the breach without the Data Fiduciary’s prior written consent, unless required by law.</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Data Processor shall take immediate steps to contain the breach, preserve evidence and logs, cooperate fully with the Data Fiduciary’s investigation, and provide the information the Data Fiduciary requires to intimate each affected Data Principal and the Board within the periods prescribed by Rule 7 of the Rules.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Data Processor shall bear the reasonable costs incurred by the Data Fiduciary in investigating, remediating and notifying a Personal Data Breach caused by the Data Processor’s act or omission, including the cost of forensic investigation and of communications to Data Principals.</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A template for breach intimation is set out at </w:t>
      </w:r>
      <w:r>
        <w:rPr>
          <w:rFonts w:ascii="Calibri" w:cs="Calibri" w:eastAsia="Calibri" w:hAnsi="Calibri"/>
          <w:b/>
          <w:bCs/>
          <w:sz w:val="21"/>
          <w:szCs w:val="21"/>
        </w:rPr>
        <w:t xml:space="preserve">Annexure D</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9. RETENTION AND ERASURE</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Data Processor shall retain Personal Data only for as long as necessary for the Processing described in Annexure A, and shall not retain it after the retention period stated there.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Where the Data Fiduciary is subject to an obligation under Rule 8 of the Rules to erase Personal Data on expiry of a specified period, the Data Processor shall provide the Data Fiduciary with the information necessary to identify the affected records and shall support the Data Fiduciary in giving the Data Principal the intimation required not less than forty-eight (48) hours before erasure.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Data Processor shall retain traffic data and logs of Processing for not less than one year, and shall erase them thereafter unless further retention is required by law.</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Erasure shall be effected by a method that renders the Personal Data irrecoverable, and shall extend to backups in accordance with the Data Processor’s documented backup rotation, which shall not exceed </w:t>
      </w:r>
      <w:r>
        <w:rPr>
          <w:rFonts w:ascii="Calibri" w:cs="Calibri" w:eastAsia="Calibri" w:hAnsi="Calibri"/>
          <w:b/>
          <w:bCs/>
          <w:sz w:val="21"/>
          <w:szCs w:val="21"/>
        </w:rPr>
        <w:t xml:space="preserve">[NUMBER]</w:t>
      </w:r>
      <w:r>
        <w:rPr>
          <w:rFonts w:ascii="Calibri" w:cs="Calibri" w:eastAsia="Calibri" w:hAnsi="Calibri"/>
          <w:sz w:val="21"/>
          <w:szCs w:val="21"/>
        </w:rPr>
        <w:t xml:space="preserve"> days.</w:t>
      </w:r>
    </w:p>
    <w:p>
      <w:pPr>
        <w:keepNext/>
        <w:spacing w:after="120" w:before="280"/>
        <w:outlineLvl w:val="0"/>
      </w:pPr>
      <w:r>
        <w:rPr>
          <w:rFonts w:ascii="Calibri" w:cs="Calibri" w:eastAsia="Calibri" w:hAnsi="Calibri"/>
          <w:b/>
          <w:bCs/>
          <w:color w:val="14161B"/>
          <w:sz w:val="22"/>
          <w:szCs w:val="22"/>
        </w:rPr>
        <w:t xml:space="preserve">10. CROSS-BORDER TRANSFER</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Data Processor shall not transfer Personal Data outside India except to a country or territory permitted under Section 16 of the Act and not restricted by the Central Government, and only with the Data Fiduciary’s prior written consent recorded in Annexure A.</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Data Processor shall comply with any condition imposed by the Central Government under Rule 15 of the Rules in relation to making Personal Data available to a foreign State or to any person acting for it.</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Data Processor shall notify the Data Fiduciary promptly if it receives any request from a foreign government, court or law-enforcement authority for access to the Personal Data, shall challenge the request where lawful grounds exist, and shall disclose only the minimum required, unless prohibited by law from giving such notice.</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The Data Processor acknowledges that sectoral requirements, including any localisation requirement applicable to payment or financial data, continue to apply independently of the Act.</w:t>
      </w:r>
    </w:p>
    <w:p>
      <w:pPr>
        <w:keepNext/>
        <w:spacing w:after="120" w:before="280"/>
        <w:outlineLvl w:val="0"/>
      </w:pPr>
      <w:r>
        <w:rPr>
          <w:rFonts w:ascii="Calibri" w:cs="Calibri" w:eastAsia="Calibri" w:hAnsi="Calibri"/>
          <w:b/>
          <w:bCs/>
          <w:color w:val="14161B"/>
          <w:sz w:val="22"/>
          <w:szCs w:val="22"/>
        </w:rPr>
        <w:t xml:space="preserve">11. AUDIT, RECORDS AND COOPERATION</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Data Processor shall make available to the Data Fiduciary, on request, all information reasonably necessary to demonstrate compliance with this DPA and with the Act.</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Data Fiduciary or an independent auditor appointed by it may audit the Data Processor’s compliance on </w:t>
      </w:r>
      <w:r>
        <w:rPr>
          <w:rFonts w:ascii="Calibri" w:cs="Calibri" w:eastAsia="Calibri" w:hAnsi="Calibri"/>
          <w:b/>
          <w:bCs/>
          <w:sz w:val="21"/>
          <w:szCs w:val="21"/>
        </w:rPr>
        <w:t xml:space="preserve">[NUMBER]</w:t>
      </w:r>
      <w:r>
        <w:rPr>
          <w:rFonts w:ascii="Calibri" w:cs="Calibri" w:eastAsia="Calibri" w:hAnsi="Calibri"/>
          <w:sz w:val="21"/>
          <w:szCs w:val="21"/>
        </w:rPr>
        <w:t xml:space="preserve"> Business Days’ written notice, not more than </w:t>
      </w:r>
      <w:r>
        <w:rPr>
          <w:rFonts w:ascii="Calibri" w:cs="Calibri" w:eastAsia="Calibri" w:hAnsi="Calibri"/>
          <w:b/>
          <w:bCs/>
          <w:sz w:val="21"/>
          <w:szCs w:val="21"/>
        </w:rPr>
        <w:t xml:space="preserve">[NUMBER]</w:t>
      </w:r>
      <w:r>
        <w:rPr>
          <w:rFonts w:ascii="Calibri" w:cs="Calibri" w:eastAsia="Calibri" w:hAnsi="Calibri"/>
          <w:sz w:val="21"/>
          <w:szCs w:val="21"/>
        </w:rPr>
        <w:t xml:space="preserve"> times in any twelve-month period, and at any time following a Personal Data Breach or a direction of the Board. Audits shall be conducted during business hours and in a manner that does not unreasonably disrupt the Data Processor’s operations.</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The Data Processor shall, in place of or in addition to an on-site audit, provide current copies of any third-party security certification or audit report it holds, including any report under a recognised information security standard.</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sz w:val="21"/>
          <w:szCs w:val="21"/>
        </w:rPr>
        <w:t xml:space="preserve">Where the Data Fiduciary is notified as a Significant Data Fiduciary under Section 10 of the Act, the Data Processor shall provide the additional cooperation required for the Data Fiduciary to conduct its annual Data Protection Impact Assessment and independent audit under Rule 13 of the Rules, and to exercise due diligence in respect of algorithmic software used in the Processing.</w:t>
      </w:r>
    </w:p>
    <w:p>
      <w:pPr>
        <w:keepNext/>
        <w:spacing w:after="120" w:before="280"/>
        <w:outlineLvl w:val="0"/>
      </w:pPr>
      <w:r>
        <w:rPr>
          <w:rFonts w:ascii="Calibri" w:cs="Calibri" w:eastAsia="Calibri" w:hAnsi="Calibri"/>
          <w:b/>
          <w:bCs/>
          <w:color w:val="14161B"/>
          <w:sz w:val="22"/>
          <w:szCs w:val="22"/>
        </w:rPr>
        <w:t xml:space="preserve">12. RETURN AND DELETION ON TERMINATION</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On expiry or termination of the Principal Agreement, or earlier on the Data Fiduciary’s written instruction, the Data Processor shall at the Data Fiduciary’s election either return all Personal Data in a structured, commonly used and machine-readable format, or securely erase it, and shall procure that each Sub-processor does the same.</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The Data Processor shall certify completion of return or erasure in writing within </w:t>
      </w:r>
      <w:r>
        <w:rPr>
          <w:rFonts w:ascii="Calibri" w:cs="Calibri" w:eastAsia="Calibri" w:hAnsi="Calibri"/>
          <w:b/>
          <w:bCs/>
          <w:sz w:val="21"/>
          <w:szCs w:val="21"/>
        </w:rPr>
        <w:t xml:space="preserve">[NUMBER]</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The Data Processor may retain Personal Data only to the extent required by law, and for so long as required, provided that it continues to apply the protections in this DPA to such data and processes it for no other purpose.</w:t>
      </w:r>
    </w:p>
    <w:p>
      <w:pPr>
        <w:keepNext/>
        <w:spacing w:after="120" w:before="280"/>
        <w:outlineLvl w:val="0"/>
      </w:pPr>
      <w:r>
        <w:rPr>
          <w:rFonts w:ascii="Calibri" w:cs="Calibri" w:eastAsia="Calibri" w:hAnsi="Calibri"/>
          <w:b/>
          <w:bCs/>
          <w:color w:val="14161B"/>
          <w:sz w:val="22"/>
          <w:szCs w:val="22"/>
        </w:rPr>
        <w:t xml:space="preserve">13. LIABILITY AND INDEMNITY</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The Data Processor shall indemnify the Data Fiduciary against all losses, penalties, fines, costs and expenses (including the cost of investigation, remediation, legal representation and notification) arising from any breach by the Data Processor or its Sub-processors of this DPA or of the Act.</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The Parties acknowledge that the Act provides for financial penalties of up to ₹250 crore for failure to take reasonable security safeguards to prevent a Personal Data Breach, and for substantial penalties for failure to intimate a breach and for breach of obligations relating to children’s data.</w:t>
      </w:r>
    </w:p>
    <w:p>
      <w:pPr>
        <w:spacing w:after="120" w:before="60" w:line="276"/>
        <w:ind w:left="720" w:hanging="720"/>
        <w:jc w:val="both"/>
      </w:pPr>
      <w:r>
        <w:rPr>
          <w:rFonts w:ascii="Calibri" w:cs="Calibri" w:eastAsia="Calibri" w:hAnsi="Calibri"/>
          <w:sz w:val="21"/>
          <w:szCs w:val="21"/>
        </w:rPr>
        <w:t xml:space="preserve">13.3	</w:t>
      </w:r>
      <w:r>
        <w:rPr>
          <w:rFonts w:ascii="Calibri" w:cs="Calibri" w:eastAsia="Calibri" w:hAnsi="Calibri"/>
          <w:sz w:val="21"/>
          <w:szCs w:val="21"/>
        </w:rPr>
        <w:t xml:space="preserve">Any limitation or exclusion of liability in the Principal Agreement shall not apply to the Data Processor’s liability under Clause 13.1, save as expressly agreed in writing between the Parties by reference to this Clause. </w:t>
      </w:r>
      <w:r>
        <w:rPr>
          <w:rFonts w:ascii="Calibri" w:cs="Calibri" w:eastAsia="Calibri" w:hAnsi="Calibri"/>
          <w:i/>
          <w:iCs/>
          <w:color w:val="6E7480"/>
          <w:sz w:val="21"/>
          <w:szCs w:val="21"/>
        </w:rPr>
        <w:t xml:space="preserve">Whether a separate, higher cap applies to data protection liability is a commercial decision — specify.</w:t>
      </w:r>
    </w:p>
    <w:p>
      <w:pPr>
        <w:keepNext/>
        <w:spacing w:after="120" w:before="280"/>
        <w:outlineLvl w:val="0"/>
      </w:pPr>
      <w:r>
        <w:rPr>
          <w:rFonts w:ascii="Calibri" w:cs="Calibri" w:eastAsia="Calibri" w:hAnsi="Calibri"/>
          <w:b/>
          <w:bCs/>
          <w:color w:val="14161B"/>
          <w:sz w:val="22"/>
          <w:szCs w:val="22"/>
        </w:rPr>
        <w:t xml:space="preserve">14. CHILDREN AND PERSONS WITH DISABILITIES</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The Data Fiduciary shall notify the Data Processor if the Personal Data includes data of a child or of a person with a disability who has a lawful guardian.</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Where it does, the Data Processor shall not undertake tracking, behavioural monitoring, profiling or targeted advertising directed at such Data Principals, and shall apply the additional controls specified in Annexure B.</w:t>
      </w:r>
    </w:p>
    <w:p>
      <w:pPr>
        <w:spacing w:after="120" w:before="60" w:line="276"/>
        <w:ind w:left="720" w:hanging="720"/>
        <w:jc w:val="both"/>
      </w:pPr>
      <w:r>
        <w:rPr>
          <w:rFonts w:ascii="Calibri" w:cs="Calibri" w:eastAsia="Calibri" w:hAnsi="Calibri"/>
          <w:sz w:val="21"/>
          <w:szCs w:val="21"/>
        </w:rPr>
        <w:t xml:space="preserve">14.3	</w:t>
      </w:r>
      <w:r>
        <w:rPr>
          <w:rFonts w:ascii="Calibri" w:cs="Calibri" w:eastAsia="Calibri" w:hAnsi="Calibri"/>
          <w:sz w:val="21"/>
          <w:szCs w:val="21"/>
        </w:rPr>
        <w:t xml:space="preserve">Responsibility for obtaining and verifying parental or guardian consent under Section 9 of the Act and Rule 10 of the Rules rests with the Data Fiduciary.</w:t>
      </w:r>
    </w:p>
    <w:p>
      <w:pPr>
        <w:keepNext/>
        <w:spacing w:after="120" w:before="280"/>
        <w:outlineLvl w:val="0"/>
      </w:pPr>
      <w:r>
        <w:rPr>
          <w:rFonts w:ascii="Calibri" w:cs="Calibri" w:eastAsia="Calibri" w:hAnsi="Calibri"/>
          <w:b/>
          <w:bCs/>
          <w:color w:val="14161B"/>
          <w:sz w:val="22"/>
          <w:szCs w:val="22"/>
        </w:rPr>
        <w:t xml:space="preserve">15. CONTACT AND GOVERNANCE</w:t>
      </w:r>
    </w:p>
    <w:p>
      <w:pPr>
        <w:spacing w:after="120" w:before="60" w:line="276"/>
        <w:ind w:left="720" w:hanging="720"/>
        <w:jc w:val="both"/>
      </w:pPr>
      <w:r>
        <w:rPr>
          <w:rFonts w:ascii="Calibri" w:cs="Calibri" w:eastAsia="Calibri" w:hAnsi="Calibri"/>
          <w:sz w:val="21"/>
          <w:szCs w:val="21"/>
        </w:rPr>
        <w:t xml:space="preserve">15.1	</w:t>
      </w:r>
      <w:r>
        <w:rPr>
          <w:rFonts w:ascii="Calibri" w:cs="Calibri" w:eastAsia="Calibri" w:hAnsi="Calibri"/>
          <w:sz w:val="21"/>
          <w:szCs w:val="21"/>
        </w:rPr>
        <w:t xml:space="preserve">Each Party’s contact point for the purposes of this DPA is set out in Annexure A. The Data Fiduciary shall publish the contact details of the person able to answer questions from Data Principals about the Processing, as required by Section 8(9) of the Act.</w:t>
      </w:r>
    </w:p>
    <w:p>
      <w:pPr>
        <w:spacing w:after="120" w:before="60" w:line="276"/>
        <w:ind w:left="720" w:hanging="720"/>
        <w:jc w:val="both"/>
      </w:pPr>
      <w:r>
        <w:rPr>
          <w:rFonts w:ascii="Calibri" w:cs="Calibri" w:eastAsia="Calibri" w:hAnsi="Calibri"/>
          <w:sz w:val="21"/>
          <w:szCs w:val="21"/>
        </w:rPr>
        <w:t xml:space="preserve">15.2	</w:t>
      </w:r>
      <w:r>
        <w:rPr>
          <w:rFonts w:ascii="Calibri" w:cs="Calibri" w:eastAsia="Calibri" w:hAnsi="Calibri"/>
          <w:sz w:val="21"/>
          <w:szCs w:val="21"/>
        </w:rPr>
        <w:t xml:space="preserve">The Parties shall review this DPA at least once in every twelve months, and shall amend it as necessary to reflect changes in the Act, the Rules or any direction of the Board.</w:t>
      </w:r>
    </w:p>
    <w:p>
      <w:pPr>
        <w:keepNext/>
        <w:spacing w:after="120" w:before="280"/>
        <w:outlineLvl w:val="0"/>
      </w:pPr>
      <w:r>
        <w:rPr>
          <w:rFonts w:ascii="Calibri" w:cs="Calibri" w:eastAsia="Calibri" w:hAnsi="Calibri"/>
          <w:b/>
          <w:bCs/>
          <w:color w:val="14161B"/>
          <w:sz w:val="22"/>
          <w:szCs w:val="22"/>
        </w:rPr>
        <w:t xml:space="preserve">16. GENERAL</w:t>
      </w:r>
    </w:p>
    <w:p>
      <w:pPr>
        <w:spacing w:after="120" w:before="60" w:line="276"/>
        <w:ind w:left="720" w:hanging="720"/>
        <w:jc w:val="both"/>
      </w:pPr>
      <w:r>
        <w:rPr>
          <w:rFonts w:ascii="Calibri" w:cs="Calibri" w:eastAsia="Calibri" w:hAnsi="Calibri"/>
          <w:sz w:val="21"/>
          <w:szCs w:val="21"/>
        </w:rPr>
        <w:t xml:space="preserve">16.1	</w:t>
      </w:r>
      <w:r>
        <w:rPr>
          <w:rFonts w:ascii="Calibri" w:cs="Calibri" w:eastAsia="Calibri" w:hAnsi="Calibri"/>
          <w:sz w:val="21"/>
          <w:szCs w:val="21"/>
        </w:rPr>
        <w:t xml:space="preserve">This DPA is governed by the laws of India and is subject to the dispute resolution provisions of the Principal Agreement.</w:t>
      </w:r>
    </w:p>
    <w:p>
      <w:pPr>
        <w:spacing w:after="120" w:before="60" w:line="276"/>
        <w:ind w:left="720" w:hanging="720"/>
        <w:jc w:val="both"/>
      </w:pPr>
      <w:r>
        <w:rPr>
          <w:rFonts w:ascii="Calibri" w:cs="Calibri" w:eastAsia="Calibri" w:hAnsi="Calibri"/>
          <w:sz w:val="21"/>
          <w:szCs w:val="21"/>
        </w:rPr>
        <w:t xml:space="preserve">16.2	</w:t>
      </w:r>
      <w:r>
        <w:rPr>
          <w:rFonts w:ascii="Calibri" w:cs="Calibri" w:eastAsia="Calibri" w:hAnsi="Calibri"/>
          <w:sz w:val="21"/>
          <w:szCs w:val="21"/>
        </w:rPr>
        <w:t xml:space="preserve">If any provision is held invalid, it shall be severed and the remainder shall continue in effect.</w:t>
      </w:r>
    </w:p>
    <w:p>
      <w:pPr>
        <w:spacing w:after="120" w:before="60" w:line="276"/>
        <w:ind w:left="720" w:hanging="720"/>
        <w:jc w:val="both"/>
      </w:pPr>
      <w:r>
        <w:rPr>
          <w:rFonts w:ascii="Calibri" w:cs="Calibri" w:eastAsia="Calibri" w:hAnsi="Calibri"/>
          <w:sz w:val="21"/>
          <w:szCs w:val="21"/>
        </w:rPr>
        <w:t xml:space="preserve">16.3	</w:t>
      </w:r>
      <w:r>
        <w:rPr>
          <w:rFonts w:ascii="Calibri" w:cs="Calibri" w:eastAsia="Calibri" w:hAnsi="Calibri"/>
          <w:sz w:val="21"/>
          <w:szCs w:val="21"/>
        </w:rPr>
        <w:t xml:space="preserve">This DPA may be executed in counterparts and by electronic signature, with effect under Section 5 of the Information Technology Act, 2000.</w:t>
      </w:r>
    </w:p>
    <w:p>
      <w:pPr>
        <w:spacing w:after="120" w:before="60" w:line="276"/>
        <w:ind w:left="720" w:hanging="720"/>
        <w:jc w:val="both"/>
      </w:pPr>
      <w:r>
        <w:rPr>
          <w:rFonts w:ascii="Calibri" w:cs="Calibri" w:eastAsia="Calibri" w:hAnsi="Calibri"/>
          <w:sz w:val="21"/>
          <w:szCs w:val="21"/>
        </w:rPr>
        <w:t xml:space="preserve">16.4	</w:t>
      </w:r>
      <w:r>
        <w:rPr>
          <w:rFonts w:ascii="Calibri" w:cs="Calibri" w:eastAsia="Calibri" w:hAnsi="Calibri"/>
          <w:sz w:val="21"/>
          <w:szCs w:val="21"/>
        </w:rPr>
        <w:t xml:space="preserve">Save as varied by this DPA, the Principal Agreement continues in full force.</w:t>
      </w:r>
    </w:p>
    <w:p>
      <w:pPr>
        <w:spacing w:after="200"/>
      </w:pPr>
    </w:p>
    <w:p>
      <w:pPr>
        <w:spacing w:after="24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DPA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[DATA FIDUCIARY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and on behalf of </w:t>
            </w:r>
            <w:r>
              <w:rPr>
                <w:rFonts w:ascii="Calibri" w:cs="Calibri" w:eastAsia="Calibri" w:hAnsi="Calibri"/>
                <w:b/>
                <w:bCs/>
                <w:sz w:val="21"/>
                <w:szCs w:val="21"/>
              </w:rPr>
              <w:t xml:space="preserve">[DATA PROCESSOR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Details of Processing</w:t>
      </w:r>
    </w:p>
    <w:p>
      <w:pPr>
        <w:spacing w:after="140" w:before="0" w:line="276"/>
        <w:jc w:val="both"/>
      </w:pPr>
      <w:r>
        <w:rPr>
          <w:rFonts w:ascii="Calibri" w:cs="Calibri" w:eastAsia="Calibri" w:hAnsi="Calibri"/>
          <w:sz w:val="21"/>
          <w:szCs w:val="21"/>
        </w:rPr>
        <w:t xml:space="preserve">This Annexure records the Processing instructed by the Data Fiduciary. Add a row for each distinct processing activity. Do not leave a row blank — an activity not recorded here is not authorised.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2255"/>
        <w:gridCol w:w="2255"/>
        <w:gridCol w:w="3007"/>
        <w:gridCol w:w="3007"/>
        <w:gridCol w:w="1954"/>
        <w:gridCol w:w="1959"/>
      </w:tblGrid>
      <w:tr>
        <w:trPr>
          <w:tblHeader/>
        </w:trPr>
        <w:tc>
          <w:tcPr>
            <w:tcW w:type="dxa" w:w="60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Processing activity</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 of Data Principals</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 of Personal Data</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 and nature of Processing</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Retention period</w:t>
            </w:r>
          </w:p>
        </w:tc>
        <w:tc>
          <w:tcPr>
            <w:tcW w:type="dxa" w:w="19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Location of storage / Processing</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[e.g. Payroll administration]</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[Employees, ex-employees]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PAN, bank account, salary, statutory identifiers]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[Computation and disbursement of salary and statutory dues]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[8 years from end of financial year]</w:t>
            </w:r>
          </w:p>
        </w:tc>
        <w:tc>
          <w:tcPr>
            <w:tcW w:type="dxa" w:w="19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[India — city, provider]</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[e.g. Recruitment]</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[Candidates]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 contact details, CV, assessment records]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[Evaluation of applications]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[12 months from decision]</w:t>
            </w:r>
          </w:p>
        </w:tc>
        <w:tc>
          <w:tcPr>
            <w:tcW w:type="dxa" w:w="19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[India — city, provider]</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[ACTIVITY]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c>
          <w:tcPr>
            <w:tcW w:type="dxa" w:w="19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[LOCATION]</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[ACTIVITY]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c>
          <w:tcPr>
            <w:tcW w:type="dxa" w:w="19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[LOCATION]</w:t>
            </w:r>
          </w:p>
        </w:tc>
      </w:tr>
      <w:tr>
        <w:tc>
          <w:tcPr>
            <w:tcW w:type="dxa" w:w="60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[ACTIVITY]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[CATEGORIES]</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c>
          <w:tcPr>
            <w:tcW w:type="dxa" w:w="195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[LOCATION]</w:t>
            </w:r>
          </w:p>
        </w:tc>
      </w:tr>
    </w:tbl>
    <w:p>
      <w:pPr>
        <w:spacing w:after="180"/>
      </w:pPr>
    </w:p>
    <w:p>
      <w:pPr>
        <w:keepNext/>
        <w:spacing w:after="100" w:before="200"/>
        <w:outlineLvl w:val="1"/>
      </w:pPr>
      <w:r>
        <w:rPr>
          <w:rFonts w:ascii="Calibri" w:cs="Calibri" w:eastAsia="Calibri" w:hAnsi="Calibri"/>
          <w:b/>
          <w:bCs/>
          <w:color w:val="14161B"/>
          <w:sz w:val="21"/>
          <w:szCs w:val="21"/>
        </w:rPr>
        <w:t xml:space="preserve">Special categories flagged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9022"/>
        <w:gridCol w:w="6016"/>
      </w:tblGrid>
      <w:tr>
        <w:trPr>
          <w:tblHeader/>
        </w:trPr>
        <w:tc>
          <w:tcPr>
            <w:tcW w:type="dxa" w:w="90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Question</w:t>
            </w:r>
          </w:p>
        </w:tc>
        <w:tc>
          <w:tcPr>
            <w:tcW w:type="dxa" w:w="601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Answer</w:t>
            </w:r>
          </w:p>
        </w:tc>
      </w:tr>
      <w:tr>
        <w:tc>
          <w:tcPr>
            <w:tcW w:type="dxa" w:w="90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Personal Data include data of children (under 18)?</w:t>
            </w:r>
          </w:p>
        </w:tc>
        <w:tc>
          <w:tcPr>
            <w:tcW w:type="dxa" w:w="60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90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it include data of persons with a lawful guardian?</w:t>
            </w:r>
          </w:p>
        </w:tc>
        <w:tc>
          <w:tcPr>
            <w:tcW w:type="dxa" w:w="60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90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any Processing carried out outside India?</w:t>
            </w:r>
          </w:p>
        </w:tc>
        <w:tc>
          <w:tcPr>
            <w:tcW w:type="dxa" w:w="60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if yes, list countries]</w:t>
            </w:r>
          </w:p>
        </w:tc>
      </w:tr>
      <w:tr>
        <w:tc>
          <w:tcPr>
            <w:tcW w:type="dxa" w:w="90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any automated decision-making or profiling undertaken?</w:t>
            </w:r>
          </w:p>
        </w:tc>
        <w:tc>
          <w:tcPr>
            <w:tcW w:type="dxa" w:w="60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if yes, describe]</w:t>
            </w:r>
          </w:p>
        </w:tc>
      </w:tr>
      <w:tr>
        <w:tc>
          <w:tcPr>
            <w:tcW w:type="dxa" w:w="902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Has the Data Fiduciary been notified as a Significant Data Fiduciary?</w:t>
            </w:r>
          </w:p>
        </w:tc>
        <w:tc>
          <w:tcPr>
            <w:tcW w:type="dxa" w:w="601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bl>
    <w:p>
      <w:pPr>
        <w:spacing w:after="180"/>
      </w:pPr>
    </w:p>
    <w:p>
      <w:pPr>
        <w:keepNext/>
        <w:spacing w:after="100" w:before="200"/>
        <w:outlineLvl w:val="1"/>
      </w:pPr>
      <w:r>
        <w:rPr>
          <w:rFonts w:ascii="Calibri" w:cs="Calibri" w:eastAsia="Calibri" w:hAnsi="Calibri"/>
          <w:b/>
          <w:bCs/>
          <w:color w:val="14161B"/>
          <w:sz w:val="21"/>
          <w:szCs w:val="21"/>
        </w:rPr>
        <w:t xml:space="preserve">Contact points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1"/>
        <w:gridCol w:w="5263"/>
        <w:gridCol w:w="5264"/>
      </w:tblGrid>
      <w:tr>
        <w:trPr>
          <w:tblHeader/>
        </w:trPr>
        <w:tc>
          <w:tcPr>
            <w:tcW w:type="dxa" w:w="45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w:t>
            </w:r>
          </w:p>
        </w:tc>
        <w:tc>
          <w:tcPr>
            <w:tcW w:type="dxa" w:w="52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Data Fiduciary</w:t>
            </w:r>
          </w:p>
        </w:tc>
        <w:tc>
          <w:tcPr>
            <w:tcW w:type="dxa" w:w="52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Data Processor</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Primary contact for this DPA</w:t>
            </w:r>
          </w:p>
        </w:tc>
        <w:tc>
          <w:tcPr>
            <w:tcW w:type="dxa" w:w="52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DESIGNATION]</w:t>
            </w:r>
          </w:p>
        </w:tc>
        <w:tc>
          <w:tcPr>
            <w:tcW w:type="dxa" w:w="526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DESIGNATION]</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w:t>
            </w:r>
          </w:p>
        </w:tc>
        <w:tc>
          <w:tcPr>
            <w:tcW w:type="dxa" w:w="52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526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Telephone (24x7 for breach)</w:t>
            </w:r>
          </w:p>
        </w:tc>
        <w:tc>
          <w:tcPr>
            <w:tcW w:type="dxa" w:w="52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c>
          <w:tcPr>
            <w:tcW w:type="dxa" w:w="526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 answering Data Principal questions (Section 8(9))</w:t>
            </w:r>
          </w:p>
        </w:tc>
        <w:tc>
          <w:tcPr>
            <w:tcW w:type="dxa" w:w="52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AND PUBLISHED CONTACT]</w:t>
            </w:r>
          </w:p>
        </w:tc>
        <w:tc>
          <w:tcPr>
            <w:tcW w:type="dxa" w:w="526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 applicable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Technical and Organisational Measures</w:t>
      </w:r>
    </w:p>
    <w:p>
      <w:pPr>
        <w:spacing w:after="140" w:before="0" w:line="276"/>
        <w:jc w:val="both"/>
      </w:pPr>
      <w:r>
        <w:rPr>
          <w:rFonts w:ascii="Calibri" w:cs="Calibri" w:eastAsia="Calibri" w:hAnsi="Calibri"/>
          <w:sz w:val="21"/>
          <w:szCs w:val="21"/>
        </w:rPr>
        <w:t xml:space="preserve">The measures below are the minimum standard. Complete the right-hand column with the specific control in place; "as per policy" is not an acceptable entry.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4433"/>
        <w:gridCol w:w="3278"/>
      </w:tblGrid>
      <w:tr>
        <w:trPr>
          <w:tblHeader/>
        </w:trPr>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Domain</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Required measure (Rule 6 baseline)</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 in place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Encryption</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Encryption of Personal Data at rest and in transit, or obfuscation, masking or tokenisation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 algorithm, key management]</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control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Role-based access on a least-privilege basis; multi-factor authentication for administrative access; quarterly access reviews; removal within 24 hours of exit</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Logging and monitoring</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Logs of access to and actions on Personal Data, retained not less than one year, monitored and reviewed for anomalies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Backup and continuity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Tested backups protected to the same standard; documented recovery objectives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 RPO, RTO, rotation]</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detection</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Measures to detect unauthorised access and enable investigation and remediation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Secure development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Secure coding standards, code review, dependency scanning, segregation of environments; no production Personal Data in test environments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Endpoint and device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Managed devices only; disk encryption; no Personal Data on personal accounts or removable media</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Personnel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Background verification, confidentiality undertakings surviving exit, role-appropriate training at least annually</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Physical security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Controlled access to premises and data centres; visitor logs</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Testing</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Vulnerability assessment and penetration testing at the agreed frequency, with tracked remediation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Children’s data (if applicable)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tracking, behavioural monitoring, profiling or targeted advertising; segregated storage</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Disposal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Irrecoverable erasure of media and records at end of retention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Authorised Sub-processors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313"/>
        <w:gridCol w:w="1831"/>
        <w:gridCol w:w="2313"/>
        <w:gridCol w:w="1349"/>
        <w:gridCol w:w="1351"/>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Sub-processor</w:t>
            </w:r>
          </w:p>
        </w:tc>
        <w:tc>
          <w:tcPr>
            <w:tcW w:type="dxa" w:w="183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 provided</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 of Personal Data accessed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c>
          <w:tcPr>
            <w:tcW w:type="dxa" w:w="135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Authorised on</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AND ENTITY DETAILS]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 / CITY]</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AND ENTITY DETAILS]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 / CITY]</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AND ENTITY DETAILS]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 / CITY]</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AND ENTITY DETAILS]</w:t>
            </w:r>
          </w:p>
        </w:tc>
        <w:tc>
          <w:tcPr>
            <w:tcW w:type="dxa" w:w="183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 / CITY]</w:t>
            </w:r>
          </w:p>
        </w:tc>
        <w:tc>
          <w:tcPr>
            <w:tcW w:type="dxa" w:w="1351"/>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r>
    </w:tbl>
    <w:p>
      <w:pPr>
        <w:spacing w:after="140"/>
      </w:pPr>
    </w:p>
    <w:p>
      <w:pPr>
        <w:spacing w:after="200" w:before="0" w:line="276"/>
        <w:jc w:val="both"/>
      </w:pPr>
      <w:r>
        <w:rPr>
          <w:rFonts w:ascii="Calibri" w:cs="Calibri" w:eastAsia="Calibri" w:hAnsi="Calibri"/>
          <w:color w:val="6E7480"/>
          <w:sz w:val="17"/>
          <w:szCs w:val="17"/>
        </w:rPr>
        <w:t xml:space="preserve">No Sub-processor may be added to this list except by written authorisation under Clause 6.2. Infrastructure and hosting providers, managed service providers, support vendors with production access, analytics providers and offshore delivery entities of the Data Processor’s own group are all Sub-processors and must be listed.</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D</w:t>
      </w:r>
    </w:p>
    <w:p>
      <w:pPr>
        <w:spacing w:after="260"/>
        <w:jc w:val="center"/>
      </w:pPr>
      <w:r>
        <w:rPr>
          <w:rFonts w:ascii="Calibri" w:cs="Calibri" w:eastAsia="Calibri" w:hAnsi="Calibri"/>
          <w:i/>
          <w:iCs/>
          <w:color w:val="6E7480"/>
          <w:sz w:val="19"/>
          <w:szCs w:val="19"/>
        </w:rPr>
        <w:t xml:space="preserve">Breach Intimation Template</w:t>
      </w:r>
    </w:p>
    <w:p>
      <w:pPr>
        <w:spacing w:after="140" w:before="0" w:line="276"/>
        <w:jc w:val="both"/>
      </w:pPr>
      <w:r>
        <w:rPr>
          <w:rFonts w:ascii="Calibri" w:cs="Calibri" w:eastAsia="Calibri" w:hAnsi="Calibri"/>
          <w:sz w:val="21"/>
          <w:szCs w:val="21"/>
        </w:rPr>
        <w:t xml:space="preserve">To be completed by the Data Processor and sent to the Data Fiduciary within twenty-four (24) hours of becoming aware of a Personal Data Breach. Send an incomplete form on time rather than a complete form late.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5591"/>
      </w:tblGrid>
      <w:tr>
        <w:trPr>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Field</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Reference number</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and time the Data Processor became aware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[DD/MM/YYYY, HH:MM]</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and time the breach is believed to have occurred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[DD/MM/YYYY, HH:MM]</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Nature of the breach</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[UNAUTHORISED ACCESS / DISCLOSURE / ALTERATION / LOSS OF ACCESS / DESTRUCTION]</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Description of the incident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[NARRATIVE]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Systems, applications and locations affected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Categories of Personal Data affected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Categories and approximate number of Data Principals affected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 AND CATEGORIES]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Approximate number of records affected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children’s data is involved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Root cause, if known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Likely consequences for Data Principals</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Containment measures taken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Remedial measures taken or proposed, with timeline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Measures to prevent recurrence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any Sub-processor is involved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 — identify]</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and logs preserved</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 — describe]</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Processor contact for follow-up</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DESIGNATION, PHONE, EMAIL]</w:t>
            </w:r>
          </w:p>
        </w:tc>
      </w:tr>
      <w:t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Information still outstanding and expected time of supply</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Why this document is mandatory</w:t>
      </w:r>
    </w:p>
    <w:p>
      <w:pPr>
        <w:spacing w:after="60" w:line="264"/>
        <w:jc w:val="both"/>
      </w:pPr>
      <w:r>
        <w:rPr>
          <w:rFonts w:ascii="Calibri" w:cs="Calibri" w:eastAsia="Calibri" w:hAnsi="Calibri"/>
          <w:sz w:val="19"/>
          <w:szCs w:val="19"/>
        </w:rPr>
        <w:t xml:space="preserve">Section 8(2) of the DPDP Act, 2023 permits a Data Fiduciary to engage a Data Processor only under a valid contract. A services agreement with a one-line confidentiality clause is not that contract. If you share personal data with a payroll bureau, a recruitment agency, a cloud provider, a support vendor or an offshore delivery arm, this document is the instrument that authorises it.</w:t>
      </w:r>
    </w:p>
    <w:p>
      <w:pPr>
        <w:keepNext/>
        <w:spacing w:after="40" w:before="140"/>
      </w:pPr>
      <w:r>
        <w:rPr>
          <w:rFonts w:ascii="Calibri" w:cs="Calibri" w:eastAsia="Calibri" w:hAnsi="Calibri"/>
          <w:b/>
          <w:bCs/>
          <w:color w:val="14161B"/>
          <w:sz w:val="20"/>
          <w:szCs w:val="20"/>
        </w:rPr>
        <w:t xml:space="preserve">Commencement timeline</w:t>
      </w:r>
    </w:p>
    <w:p>
      <w:pPr>
        <w:spacing w:after="60" w:line="264"/>
        <w:jc w:val="both"/>
      </w:pPr>
      <w:r>
        <w:rPr>
          <w:rFonts w:ascii="Calibri" w:cs="Calibri" w:eastAsia="Calibri" w:hAnsi="Calibri"/>
          <w:sz w:val="19"/>
          <w:szCs w:val="19"/>
        </w:rPr>
        <w:t xml:space="preserve">The Rules were notified on 13 November 2025 and commence in phases: definitions and the Data Protection Board from 13 November 2025; the Board’s enforcement and penalty powers and Consent Manager registration from 13 November 2026; and the substantive obligations on notice, consent, security safeguards, breach intimation, retention and Data Principal rights from 13 May 2027. Contracts signed today will be running when those obligations bite, so sign the compliant version now rather than repapering later.</w:t>
      </w:r>
    </w:p>
    <w:p>
      <w:pPr>
        <w:keepNext/>
        <w:spacing w:after="40" w:before="140"/>
      </w:pPr>
      <w:r>
        <w:rPr>
          <w:rFonts w:ascii="Calibri" w:cs="Calibri" w:eastAsia="Calibri" w:hAnsi="Calibri"/>
          <w:b/>
          <w:bCs/>
          <w:color w:val="14161B"/>
          <w:sz w:val="20"/>
          <w:szCs w:val="20"/>
        </w:rPr>
        <w:t xml:space="preserve">Annexure A is the document</w:t>
      </w:r>
    </w:p>
    <w:p>
      <w:pPr>
        <w:spacing w:after="60" w:line="264"/>
        <w:jc w:val="both"/>
      </w:pPr>
      <w:r>
        <w:rPr>
          <w:rFonts w:ascii="Calibri" w:cs="Calibri" w:eastAsia="Calibri" w:hAnsi="Calibri"/>
          <w:sz w:val="19"/>
          <w:szCs w:val="19"/>
        </w:rPr>
        <w:t xml:space="preserve">The clauses matter, but Annexure A is what auditors, counterparties and the Board will actually read. A DPA with an empty or generic Annexure A provides no protection, because the scope of authorised processing is undefined. It is set out in landscape so that seven columns remain legible — add rows, do not compress. Anything not listed there is unauthorised processing.</w:t>
      </w:r>
    </w:p>
    <w:p>
      <w:pPr>
        <w:keepNext/>
        <w:spacing w:after="40" w:before="140"/>
      </w:pPr>
      <w:r>
        <w:rPr>
          <w:rFonts w:ascii="Calibri" w:cs="Calibri" w:eastAsia="Calibri" w:hAnsi="Calibri"/>
          <w:b/>
          <w:bCs/>
          <w:color w:val="14161B"/>
          <w:sz w:val="20"/>
          <w:szCs w:val="20"/>
        </w:rPr>
        <w:t xml:space="preserve">Twenty-four hours, not "promptly"</w:t>
      </w:r>
    </w:p>
    <w:p>
      <w:pPr>
        <w:spacing w:after="60" w:line="264"/>
        <w:jc w:val="both"/>
      </w:pPr>
      <w:r>
        <w:rPr>
          <w:rFonts w:ascii="Calibri" w:cs="Calibri" w:eastAsia="Calibri" w:hAnsi="Calibri"/>
          <w:sz w:val="19"/>
          <w:szCs w:val="19"/>
        </w:rPr>
        <w:t xml:space="preserve">The Data Fiduciary’s own intimation obligations run on a short clock once it becomes aware of a breach. A processor who reports "without undue delay" consumes the whole of that clock. Clause 8.1 fixes twenty-four hours and Clause 8.3 forbids waiting for a complete investigation. Resist any request to soften either.</w:t>
      </w:r>
    </w:p>
    <w:p>
      <w:pPr>
        <w:keepNext/>
        <w:spacing w:after="40" w:before="140"/>
      </w:pPr>
      <w:r>
        <w:rPr>
          <w:rFonts w:ascii="Calibri" w:cs="Calibri" w:eastAsia="Calibri" w:hAnsi="Calibri"/>
          <w:b/>
          <w:bCs/>
          <w:color w:val="14161B"/>
          <w:sz w:val="20"/>
          <w:szCs w:val="20"/>
        </w:rPr>
        <w:t xml:space="preserve">Log retention</w:t>
      </w:r>
    </w:p>
    <w:p>
      <w:pPr>
        <w:spacing w:after="60" w:line="264"/>
        <w:jc w:val="both"/>
      </w:pPr>
      <w:r>
        <w:rPr>
          <w:rFonts w:ascii="Calibri" w:cs="Calibri" w:eastAsia="Calibri" w:hAnsi="Calibri"/>
          <w:sz w:val="19"/>
          <w:szCs w:val="19"/>
        </w:rPr>
        <w:t xml:space="preserve">Rule 8(3) carries a general obligation to retain personal data, associated traffic data and processing logs for a minimum of one year. This is not limited to government bodies. Clause 5.1(c) and Clause 9.3 reflect it — check that your processor’s log rotation is not set to thirty days.</w:t>
      </w:r>
    </w:p>
    <w:p>
      <w:pPr>
        <w:keepNext/>
        <w:spacing w:after="40" w:before="140"/>
      </w:pPr>
      <w:r>
        <w:rPr>
          <w:rFonts w:ascii="Calibri" w:cs="Calibri" w:eastAsia="Calibri" w:hAnsi="Calibri"/>
          <w:b/>
          <w:bCs/>
          <w:color w:val="14161B"/>
          <w:sz w:val="20"/>
          <w:szCs w:val="20"/>
        </w:rPr>
        <w:t xml:space="preserve">Sub-processors</w:t>
      </w:r>
    </w:p>
    <w:p>
      <w:pPr>
        <w:spacing w:after="60" w:line="264"/>
        <w:jc w:val="both"/>
      </w:pPr>
      <w:r>
        <w:rPr>
          <w:rFonts w:ascii="Calibri" w:cs="Calibri" w:eastAsia="Calibri" w:hAnsi="Calibri"/>
          <w:sz w:val="19"/>
          <w:szCs w:val="19"/>
        </w:rPr>
        <w:t xml:space="preserve">Most breaches in practice occur at the fourth party, not the third. Annexure C should include hosting, support, analytics and the processor’s own offshore group entities. If the processor will not name them, that is itself information about the level of control it exercises.</w:t>
      </w:r>
    </w:p>
    <w:p>
      <w:pPr>
        <w:keepNext/>
        <w:spacing w:after="40" w:before="140"/>
      </w:pPr>
      <w:r>
        <w:rPr>
          <w:rFonts w:ascii="Calibri" w:cs="Calibri" w:eastAsia="Calibri" w:hAnsi="Calibri"/>
          <w:b/>
          <w:bCs/>
          <w:color w:val="14161B"/>
          <w:sz w:val="20"/>
          <w:szCs w:val="20"/>
        </w:rPr>
        <w:t xml:space="preserve">Liability carve-out</w:t>
      </w:r>
    </w:p>
    <w:p>
      <w:pPr>
        <w:spacing w:after="60" w:line="264"/>
        <w:jc w:val="both"/>
      </w:pPr>
      <w:r>
        <w:rPr>
          <w:rFonts w:ascii="Calibri" w:cs="Calibri" w:eastAsia="Calibri" w:hAnsi="Calibri"/>
          <w:sz w:val="19"/>
          <w:szCs w:val="19"/>
        </w:rPr>
        <w:t xml:space="preserve">Clause 13.3 disapplies the general liability cap in the principal agreement to data protection liability, because a ₹250 crore penalty exposure sitting under a cap of twelve months’ fees is not a meaningful allocation of risk. Expect this to be negotiated; a separate, higher super-cap for data protection is the usual landing point.</w:t>
      </w:r>
    </w:p>
    <w:p>
      <w:pPr>
        <w:keepNext/>
        <w:spacing w:after="40" w:before="140"/>
      </w:pPr>
      <w:r>
        <w:rPr>
          <w:rFonts w:ascii="Calibri" w:cs="Calibri" w:eastAsia="Calibri" w:hAnsi="Calibri"/>
          <w:b/>
          <w:bCs/>
          <w:color w:val="14161B"/>
          <w:sz w:val="20"/>
          <w:szCs w:val="20"/>
        </w:rPr>
        <w:t xml:space="preserve">Cross-border transfer</w:t>
      </w:r>
    </w:p>
    <w:p>
      <w:pPr>
        <w:spacing w:after="60" w:line="264"/>
        <w:jc w:val="both"/>
      </w:pPr>
      <w:r>
        <w:rPr>
          <w:rFonts w:ascii="Calibri" w:cs="Calibri" w:eastAsia="Calibri" w:hAnsi="Calibri"/>
          <w:sz w:val="19"/>
          <w:szCs w:val="19"/>
        </w:rPr>
        <w:t xml:space="preserve">Section 16 of the Act operates on a negative-list basis — transfer is permitted except to countries restricted by the Central Government. That is more permissive than many international frameworks, but sectoral localisation rules, including for payments data, continue to apply independently. Record the actual countries in Annexure A.</w:t>
      </w:r>
    </w:p>
    <w:p>
      <w:pPr>
        <w:keepNext/>
        <w:spacing w:after="40" w:before="140"/>
      </w:pPr>
      <w:r>
        <w:rPr>
          <w:rFonts w:ascii="Calibri" w:cs="Calibri" w:eastAsia="Calibri" w:hAnsi="Calibri"/>
          <w:b/>
          <w:bCs/>
          <w:color w:val="14161B"/>
          <w:sz w:val="20"/>
          <w:szCs w:val="20"/>
        </w:rPr>
        <w:t xml:space="preserve">If you are the processor</w:t>
      </w:r>
    </w:p>
    <w:p>
      <w:pPr>
        <w:spacing w:after="60" w:line="264"/>
        <w:jc w:val="both"/>
      </w:pPr>
      <w:r>
        <w:rPr>
          <w:rFonts w:ascii="Calibri" w:cs="Calibri" w:eastAsia="Calibri" w:hAnsi="Calibri"/>
          <w:sz w:val="19"/>
          <w:szCs w:val="19"/>
        </w:rPr>
        <w:t xml:space="preserve">Read Clause 4.1(a) before signing. It prohibits use of the data for your own product development, analytics, benchmarking or model training. If your business model depends on any of those, negotiate it expressly and specifically — do not sign and hope.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the DPDP Act, 2023 and the DPDP Rules, 2025 as at </w:t>
      </w:r>
      <w:r>
        <w:rPr>
          <w:rFonts w:ascii="Calibri" w:cs="Calibri" w:eastAsia="Calibri" w:hAnsi="Calibri"/>
          <w:b/>
          <w:bCs/>
          <w:sz w:val="19"/>
          <w:szCs w:val="19"/>
        </w:rPr>
        <w:t xml:space="preserve">[DATE OF USE]</w:t>
      </w:r>
      <w:r>
        <w:rPr>
          <w:rFonts w:ascii="Calibri" w:cs="Calibri" w:eastAsia="Calibri" w:hAnsi="Calibri"/>
          <w:sz w:val="19"/>
          <w:szCs w:val="19"/>
        </w:rPr>
        <w:t xml:space="preserve">. The phased commencement dates and any subsequent direction of the Board should be checked before you rely on this document.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2026-08-21T12:53:52.722Z</dcterms:created>
  <dcterms:modified xsi:type="dcterms:W3CDTF">2026-08-21T12:53:52.722Z</dcterms:modified>
</cp:coreProperties>
</file>

<file path=docProps/custom.xml><?xml version="1.0" encoding="utf-8"?>
<Properties xmlns="http://schemas.openxmlformats.org/officeDocument/2006/custom-properties" xmlns:vt="http://schemas.openxmlformats.org/officeDocument/2006/docPropsVTypes"/>
</file>