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BOARD’S REPORT</w:t>
      </w:r>
    </w:p>
    <w:p>
      <w:pPr>
        <w:spacing w:after="260"/>
        <w:jc w:val="center"/>
      </w:pPr>
      <w:r>
        <w:rPr>
          <w:rFonts w:ascii="Calibri" w:cs="Calibri" w:eastAsia="Calibri" w:hAnsi="Calibri"/>
          <w:i/>
          <w:iCs/>
          <w:color w:val="6E7480"/>
          <w:sz w:val="19"/>
          <w:szCs w:val="19"/>
        </w:rPr>
        <w:t xml:space="preserve">For the financial year ended </w:t>
      </w:r>
      <w:r>
        <w:rPr>
          <w:rFonts w:ascii="Calibri" w:cs="Calibri" w:eastAsia="Calibri" w:hAnsi="Calibri"/>
          <w:b/>
          <w:bCs/>
          <w:i/>
          <w:iCs/>
          <w:color w:val="6E7480"/>
          <w:sz w:val="19"/>
          <w:szCs w:val="19"/>
        </w:rPr>
        <w:t xml:space="preserve">[DATE]</w:t>
      </w:r>
    </w:p>
    <w:p>
      <w:pPr>
        <w:spacing w:after="180" w:before="0" w:line="276"/>
        <w:jc w:val="both"/>
      </w:pPr>
      <w:r>
        <w:rPr>
          <w:rFonts w:ascii="Calibri" w:cs="Calibri" w:eastAsia="Calibri" w:hAnsi="Calibri"/>
          <w:i/>
          <w:iCs/>
          <w:color w:val="6E7480"/>
          <w:sz w:val="21"/>
          <w:szCs w:val="21"/>
        </w:rPr>
        <w:t xml:space="preserve">The Board’s report is the one governance document that becomes a public record and is read by lenders, acquirers and regulators years later. Its disclosure requirements are cumulative: the Act, the rules, and separate legislation each add items. Work through the checklist at the end before signing, and delete every heading that does not apply rather than writing "not applicable" against all of them.</w:t>
      </w:r>
    </w:p>
    <w:p>
      <w:pPr>
        <w:spacing w:after="140" w:before="0" w:line="276"/>
        <w:jc w:val="both"/>
      </w:pPr>
      <w:r>
        <w:rPr>
          <w:rFonts w:ascii="Calibri" w:cs="Calibri" w:eastAsia="Calibri" w:hAnsi="Calibri"/>
          <w:b/>
          <w:bCs/>
          <w:sz w:val="21"/>
          <w:szCs w:val="21"/>
        </w:rPr>
        <w:t xml:space="preserve">To the Members of </w:t>
      </w:r>
      <w:r>
        <w:rPr>
          <w:rFonts w:ascii="Calibri" w:cs="Calibri" w:eastAsia="Calibri" w:hAnsi="Calibri"/>
          <w:b/>
          <w:bCs/>
          <w:sz w:val="21"/>
          <w:szCs w:val="21"/>
        </w:rPr>
        <w:t xml:space="preserve">[COMPANY NAME]</w:t>
      </w:r>
      <w:r>
        <w:rPr>
          <w:rFonts w:ascii="Calibri" w:cs="Calibri" w:eastAsia="Calibri" w:hAnsi="Calibri"/>
          <w:b/>
          <w:bCs/>
          <w:sz w:val="21"/>
          <w:szCs w:val="21"/>
        </w:rPr>
        <w:t xml:space="preserve">,</w:t>
      </w:r>
    </w:p>
    <w:p>
      <w:pPr>
        <w:spacing w:after="180" w:before="0" w:line="276"/>
        <w:jc w:val="both"/>
      </w:pPr>
      <w:r>
        <w:rPr>
          <w:rFonts w:ascii="Calibri" w:cs="Calibri" w:eastAsia="Calibri" w:hAnsi="Calibri"/>
          <w:sz w:val="21"/>
          <w:szCs w:val="21"/>
        </w:rPr>
        <w:t xml:space="preserve">Your Directors present the </w:t>
      </w:r>
      <w:r>
        <w:rPr>
          <w:rFonts w:ascii="Calibri" w:cs="Calibri" w:eastAsia="Calibri" w:hAnsi="Calibri"/>
          <w:b/>
          <w:bCs/>
          <w:sz w:val="21"/>
          <w:szCs w:val="21"/>
        </w:rPr>
        <w:t xml:space="preserve">[NUMBER]</w:t>
      </w:r>
      <w:r>
        <w:rPr>
          <w:rFonts w:ascii="Calibri" w:cs="Calibri" w:eastAsia="Calibri" w:hAnsi="Calibri"/>
          <w:sz w:val="21"/>
          <w:szCs w:val="21"/>
        </w:rPr>
        <w:t xml:space="preserve">th Annual Report of the Company together with the audited financial statements for the financial year ended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1. FINANCIAL SUMMARY AND PERFORMANCE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011"/>
        <w:gridCol w:w="2313"/>
        <w:gridCol w:w="2314"/>
      </w:tblGrid>
      <w:tr>
        <w:trPr>
          <w:tblHeader/>
        </w:trPr>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 in lakh</w:t>
            </w:r>
          </w:p>
        </w:tc>
        <w:tc>
          <w:tcPr>
            <w:tcW w:type="dxa" w:w="231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Year ended </w:t>
            </w:r>
            <w:r>
              <w:rPr>
                <w:rFonts w:ascii="Calibri" w:cs="Calibri" w:eastAsia="Calibri" w:hAnsi="Calibri"/>
                <w:b/>
                <w:bCs/>
                <w:sz w:val="19"/>
                <w:szCs w:val="19"/>
              </w:rPr>
              <w:t xml:space="preserve">[DATE]</w:t>
            </w:r>
          </w:p>
        </w:tc>
        <w:tc>
          <w:tcPr>
            <w:tcW w:type="dxa" w:w="231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Year ended </w:t>
            </w:r>
            <w:r>
              <w:rPr>
                <w:rFonts w:ascii="Calibri" w:cs="Calibri" w:eastAsia="Calibri" w:hAnsi="Calibri"/>
                <w:b/>
                <w:bCs/>
                <w:sz w:val="19"/>
                <w:szCs w:val="19"/>
              </w:rPr>
              <w:t xml:space="preserve">[DATE]</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Revenue from operations</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Other income</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 income</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expenses</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Profit / (loss) before depreciation, finance cost and tax</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Less: depreciation and amortisation</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Less: finance cost</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Profit / (loss) before tax</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Less: tax expense</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Profit / (loss) after tax</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Other comprehensive income</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 comprehensive income</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Balance carried to the balance sheet</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bl>
    <w:p>
      <w:pPr>
        <w:spacing w:after="140"/>
      </w:pPr>
    </w:p>
    <w:p>
      <w:pPr>
        <w:spacing w:after="140" w:before="0" w:line="276"/>
        <w:jc w:val="both"/>
      </w:pPr>
      <w:r>
        <w:rPr>
          <w:rFonts w:ascii="Calibri" w:cs="Calibri" w:eastAsia="Calibri" w:hAnsi="Calibri"/>
          <w:b/>
          <w:bCs/>
          <w:sz w:val="21"/>
          <w:szCs w:val="21"/>
        </w:rPr>
        <w:t xml:space="preserve">Review of operations.</w:t>
      </w:r>
      <w:r>
        <w:rPr>
          <w:rFonts w:ascii="Calibri" w:cs="Calibri" w:eastAsia="Calibri" w:hAnsi="Calibri"/>
          <w:sz w:val="21"/>
          <w:szCs w:val="21"/>
        </w:rPr>
        <w:t xml:space="preserve"> </w:t>
      </w:r>
      <w:r>
        <w:rPr>
          <w:rFonts w:ascii="Calibri" w:cs="Calibri" w:eastAsia="Calibri" w:hAnsi="Calibri"/>
          <w:b/>
          <w:bCs/>
          <w:sz w:val="21"/>
          <w:szCs w:val="21"/>
        </w:rPr>
        <w:t xml:space="preserve">[DESCRIBE the performance of the Company during the year — the revenue movement and its drivers, the principal customers or markets, the cost position, the profitability, and the outlook. Two to four paragraphs. Write it for a reader who does not know the business.]</w:t>
      </w:r>
    </w:p>
    <w:p>
      <w:pPr>
        <w:spacing w:after="160" w:before="0" w:line="276"/>
        <w:jc w:val="both"/>
      </w:pPr>
      <w:r>
        <w:rPr>
          <w:rFonts w:ascii="Calibri" w:cs="Calibri" w:eastAsia="Calibri" w:hAnsi="Calibri"/>
          <w:b/>
          <w:bCs/>
          <w:sz w:val="21"/>
          <w:szCs w:val="21"/>
        </w:rPr>
        <w:t xml:space="preserve">State of the Company’s affairs.</w:t>
      </w:r>
      <w:r>
        <w:rPr>
          <w:rFonts w:ascii="Calibri" w:cs="Calibri" w:eastAsia="Calibri" w:hAnsi="Calibri"/>
          <w:sz w:val="21"/>
          <w:szCs w:val="21"/>
        </w:rPr>
        <w:t xml:space="preserve"> </w:t>
      </w:r>
      <w:r>
        <w:rPr>
          <w:rFonts w:ascii="Calibri" w:cs="Calibri" w:eastAsia="Calibri" w:hAnsi="Calibri"/>
          <w:b/>
          <w:bCs/>
          <w:sz w:val="21"/>
          <w:szCs w:val="21"/>
        </w:rPr>
        <w:t xml:space="preserve">[DESCRIBE the position of the Company as at the year end — its net worth, its liquidity, its principal assets and liabilities, and any matter materially affecting its financial position.]</w:t>
      </w:r>
    </w:p>
    <w:p>
      <w:pPr>
        <w:keepNext/>
        <w:spacing w:after="120" w:before="280"/>
        <w:outlineLvl w:val="0"/>
      </w:pPr>
      <w:r>
        <w:rPr>
          <w:rFonts w:ascii="Calibri" w:cs="Calibri" w:eastAsia="Calibri" w:hAnsi="Calibri"/>
          <w:b/>
          <w:bCs/>
          <w:color w:val="14161B"/>
          <w:sz w:val="22"/>
          <w:szCs w:val="22"/>
        </w:rPr>
        <w:t xml:space="preserve">2. DIVIDEND AND RESERVES</w:t>
      </w:r>
    </w:p>
    <w:p>
      <w:pPr>
        <w:spacing w:after="120" w:before="0" w:line="276"/>
        <w:jc w:val="both"/>
      </w:pPr>
      <w:r>
        <w:rPr>
          <w:rFonts w:ascii="Calibri" w:cs="Calibri" w:eastAsia="Calibri" w:hAnsi="Calibri"/>
          <w:b/>
          <w:bCs/>
          <w:sz w:val="21"/>
          <w:szCs w:val="21"/>
        </w:rPr>
        <w:t xml:space="preserve">[Your Directors recommend a dividend of ₹ ______ per equity share of ₹ ______ each for the financial year, involving a total outflow of ₹ ______, subject to the approval of the members at the ensuing Annual General Meeting. / In view of the ______, your Directors do not recommend any dividend for the financial year.]</w:t>
      </w:r>
    </w:p>
    <w:p>
      <w:pPr>
        <w:spacing w:after="120" w:before="0" w:line="276"/>
        <w:jc w:val="both"/>
      </w:pPr>
      <w:r>
        <w:rPr>
          <w:rFonts w:ascii="Calibri" w:cs="Calibri" w:eastAsia="Calibri" w:hAnsi="Calibri"/>
          <w:b/>
          <w:bCs/>
          <w:sz w:val="21"/>
          <w:szCs w:val="21"/>
        </w:rPr>
        <w:t xml:space="preserve">[An amount of ₹ ______ has been transferred to the ______ reserve. / No amount has been transferred to reserves during the financial year.]</w:t>
      </w:r>
    </w:p>
    <w:p>
      <w:pPr>
        <w:spacing w:after="160" w:before="0" w:line="276"/>
        <w:jc w:val="both"/>
      </w:pPr>
      <w:r>
        <w:rPr>
          <w:rFonts w:ascii="Calibri" w:cs="Calibri" w:eastAsia="Calibri" w:hAnsi="Calibri"/>
          <w:b/>
          <w:bCs/>
          <w:sz w:val="21"/>
          <w:szCs w:val="21"/>
        </w:rPr>
        <w:t xml:space="preserve">[There is no amount lying in an unpaid or unclaimed dividend account. / Details of unpaid and unclaimed dividend and of amounts required to be transferred to the fund prescribed are set out at Annexure ______.]</w:t>
      </w:r>
    </w:p>
    <w:p>
      <w:pPr>
        <w:keepNext/>
        <w:spacing w:after="120" w:before="280"/>
        <w:outlineLvl w:val="0"/>
      </w:pPr>
      <w:r>
        <w:rPr>
          <w:rFonts w:ascii="Calibri" w:cs="Calibri" w:eastAsia="Calibri" w:hAnsi="Calibri"/>
          <w:b/>
          <w:bCs/>
          <w:color w:val="14161B"/>
          <w:sz w:val="22"/>
          <w:szCs w:val="22"/>
        </w:rPr>
        <w:t xml:space="preserve">3. CHANGE IN THE NATURE OF BUSINESS</w:t>
      </w:r>
    </w:p>
    <w:p>
      <w:pPr>
        <w:spacing w:after="160" w:before="0" w:line="276"/>
        <w:jc w:val="both"/>
      </w:pPr>
      <w:r>
        <w:rPr>
          <w:rFonts w:ascii="Calibri" w:cs="Calibri" w:eastAsia="Calibri" w:hAnsi="Calibri"/>
          <w:b/>
          <w:bCs/>
          <w:sz w:val="21"/>
          <w:szCs w:val="21"/>
        </w:rPr>
        <w:t xml:space="preserve">[There was no change in the nature of the business of the Company during the financial year. / During the financial year the Company ______.]</w:t>
      </w:r>
    </w:p>
    <w:p>
      <w:pPr>
        <w:keepNext/>
        <w:spacing w:after="120" w:before="280"/>
        <w:outlineLvl w:val="0"/>
      </w:pPr>
      <w:r>
        <w:rPr>
          <w:rFonts w:ascii="Calibri" w:cs="Calibri" w:eastAsia="Calibri" w:hAnsi="Calibri"/>
          <w:b/>
          <w:bCs/>
          <w:color w:val="14161B"/>
          <w:sz w:val="22"/>
          <w:szCs w:val="22"/>
        </w:rPr>
        <w:t xml:space="preserve">4. SHARE CAPITAL</w:t>
      </w:r>
    </w:p>
    <w:p>
      <w:pPr>
        <w:spacing w:after="100" w:before="0" w:line="276"/>
        <w:jc w:val="both"/>
      </w:pPr>
      <w:r>
        <w:rPr>
          <w:rFonts w:ascii="Calibri" w:cs="Calibri" w:eastAsia="Calibri" w:hAnsi="Calibri"/>
          <w:b/>
          <w:bCs/>
          <w:sz w:val="21"/>
          <w:szCs w:val="21"/>
        </w:rPr>
        <w:t xml:space="preserve">[The authorised, issued, subscribed and paid-up share capital of the Company as at the year end was as follows, and there was no change during the year. / During the financial year the Company ______.]</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011"/>
        <w:gridCol w:w="2313"/>
        <w:gridCol w:w="2314"/>
      </w:tblGrid>
      <w:tr>
        <w:trPr>
          <w:tblHeader/>
        </w:trPr>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w:t>
            </w:r>
          </w:p>
        </w:tc>
        <w:tc>
          <w:tcPr>
            <w:tcW w:type="dxa" w:w="231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As at </w:t>
            </w:r>
            <w:r>
              <w:rPr>
                <w:rFonts w:ascii="Calibri" w:cs="Calibri" w:eastAsia="Calibri" w:hAnsi="Calibri"/>
                <w:b/>
                <w:bCs/>
                <w:sz w:val="19"/>
                <w:szCs w:val="19"/>
              </w:rPr>
              <w:t xml:space="preserve">[DATE]</w:t>
            </w:r>
          </w:p>
        </w:tc>
        <w:tc>
          <w:tcPr>
            <w:tcW w:type="dxa" w:w="231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As at </w:t>
            </w:r>
            <w:r>
              <w:rPr>
                <w:rFonts w:ascii="Calibri" w:cs="Calibri" w:eastAsia="Calibri" w:hAnsi="Calibri"/>
                <w:b/>
                <w:bCs/>
                <w:sz w:val="19"/>
                <w:szCs w:val="19"/>
              </w:rPr>
              <w:t xml:space="preserve">[DATE]</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Authorised share capital (₹)</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Issued, subscribed and paid-up equity share capital (₹)</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Issued, subscribed and paid-up preference share capital (₹)</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Number of equity shares</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Number of preference shares</w:t>
            </w:r>
          </w:p>
        </w:tc>
        <w:tc>
          <w:tcPr>
            <w:tcW w:type="dxa" w:w="231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r>
    </w:tbl>
    <w:p>
      <w:pPr>
        <w:spacing w:after="120"/>
      </w:pPr>
    </w:p>
    <w:p>
      <w:pPr>
        <w:spacing w:after="160" w:before="0" w:line="276"/>
        <w:jc w:val="both"/>
      </w:pPr>
      <w:r>
        <w:rPr>
          <w:rFonts w:ascii="Calibri" w:cs="Calibri" w:eastAsia="Calibri" w:hAnsi="Calibri"/>
          <w:b/>
          <w:bCs/>
          <w:sz w:val="21"/>
          <w:szCs w:val="21"/>
        </w:rPr>
        <w:t xml:space="preserve">[The Company has not issued any equity shares with differential rights, any sweat equity shares, or any shares under an employee stock option scheme during the financial year. / Particulars of the shares issued are set out at Annexure ______.]</w:t>
      </w:r>
    </w:p>
    <w:p>
      <w:pPr>
        <w:keepNext/>
        <w:spacing w:after="120" w:before="280"/>
        <w:outlineLvl w:val="0"/>
      </w:pPr>
      <w:r>
        <w:rPr>
          <w:rFonts w:ascii="Calibri" w:cs="Calibri" w:eastAsia="Calibri" w:hAnsi="Calibri"/>
          <w:b/>
          <w:bCs/>
          <w:color w:val="14161B"/>
          <w:sz w:val="22"/>
          <w:szCs w:val="22"/>
        </w:rPr>
        <w:t xml:space="preserve">5. DEPOSITS</w:t>
      </w:r>
    </w:p>
    <w:p>
      <w:pPr>
        <w:spacing w:after="120" w:before="0" w:line="276"/>
        <w:jc w:val="both"/>
      </w:pPr>
      <w:r>
        <w:rPr>
          <w:rFonts w:ascii="Calibri" w:cs="Calibri" w:eastAsia="Calibri" w:hAnsi="Calibri"/>
          <w:b/>
          <w:bCs/>
          <w:sz w:val="21"/>
          <w:szCs w:val="21"/>
        </w:rPr>
        <w:t xml:space="preserve">[The Company has neither accepted nor renewed any deposits from the public during the financial year, and there is no deposit remaining unpaid or unclaimed as at the year end. There has been no default in the repayment of any deposit or in the payment of interest on any deposit. / Particulars of deposits are set out at Annexure ______.]</w:t>
      </w:r>
    </w:p>
    <w:p>
      <w:pPr>
        <w:spacing w:after="160" w:before="0" w:line="276"/>
        <w:jc w:val="both"/>
      </w:pPr>
      <w:r>
        <w:rPr>
          <w:rFonts w:ascii="Calibri" w:cs="Calibri" w:eastAsia="Calibri" w:hAnsi="Calibri"/>
          <w:b/>
          <w:bCs/>
          <w:sz w:val="21"/>
          <w:szCs w:val="21"/>
        </w:rPr>
        <w:t xml:space="preserve">[Details of amounts received from directors, and of any amount received which is not treated as a deposit, are disclosed in the notes to the financial statements.]</w:t>
      </w:r>
    </w:p>
    <w:p>
      <w:pPr>
        <w:keepNext/>
        <w:spacing w:after="120" w:before="280"/>
        <w:outlineLvl w:val="0"/>
      </w:pPr>
      <w:r>
        <w:rPr>
          <w:rFonts w:ascii="Calibri" w:cs="Calibri" w:eastAsia="Calibri" w:hAnsi="Calibri"/>
          <w:b/>
          <w:bCs/>
          <w:color w:val="14161B"/>
          <w:sz w:val="22"/>
          <w:szCs w:val="22"/>
        </w:rPr>
        <w:t xml:space="preserve">6. DIRECTORS AND KEY MANAGERIAL PERSONNEL</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1542"/>
        <w:gridCol w:w="2313"/>
        <w:gridCol w:w="1638"/>
        <w:gridCol w:w="1640"/>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DIN / PAN</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c>
          <w:tcPr>
            <w:tcW w:type="dxa" w:w="163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 of appointment</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 of cessation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[Managing Director]</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[Director]</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[Nominee Director]</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[Chief Financial Officer]</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Secretary]</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r>
    </w:tbl>
    <w:p>
      <w:pPr>
        <w:spacing w:after="120"/>
      </w:pPr>
    </w:p>
    <w:p>
      <w:pPr>
        <w:spacing w:after="120" w:before="0" w:line="276"/>
        <w:jc w:val="both"/>
      </w:pPr>
      <w:r>
        <w:rPr>
          <w:rFonts w:ascii="Calibri" w:cs="Calibri" w:eastAsia="Calibri" w:hAnsi="Calibri"/>
          <w:b/>
          <w:bCs/>
          <w:sz w:val="21"/>
          <w:szCs w:val="21"/>
        </w:rPr>
        <w:t xml:space="preserve">Changes during the year.</w:t>
      </w:r>
      <w:r>
        <w:rPr>
          <w:rFonts w:ascii="Calibri" w:cs="Calibri" w:eastAsia="Calibri" w:hAnsi="Calibri"/>
          <w:sz w:val="21"/>
          <w:szCs w:val="21"/>
        </w:rPr>
        <w:t xml:space="preserve"> </w:t>
      </w:r>
      <w:r>
        <w:rPr>
          <w:rFonts w:ascii="Calibri" w:cs="Calibri" w:eastAsia="Calibri" w:hAnsi="Calibri"/>
          <w:b/>
          <w:bCs/>
          <w:sz w:val="21"/>
          <w:szCs w:val="21"/>
        </w:rPr>
        <w:t xml:space="preserve">[DESCRIBE appointments, resignations and re-appointments during the year and up to the date of this report.]</w:t>
      </w:r>
    </w:p>
    <w:p>
      <w:pPr>
        <w:spacing w:after="120" w:before="0" w:line="276"/>
        <w:jc w:val="both"/>
      </w:pPr>
      <w:r>
        <w:rPr>
          <w:rFonts w:ascii="Calibri" w:cs="Calibri" w:eastAsia="Calibri" w:hAnsi="Calibri"/>
          <w:b/>
          <w:bCs/>
          <w:sz w:val="21"/>
          <w:szCs w:val="21"/>
        </w:rPr>
        <w:t xml:space="preserve">Retirement by rotation.</w:t>
      </w:r>
      <w:r>
        <w:rPr>
          <w:rFonts w:ascii="Calibri" w:cs="Calibri" w:eastAsia="Calibri" w:hAnsi="Calibri"/>
          <w:sz w:val="21"/>
          <w:szCs w:val="21"/>
        </w:rPr>
        <w:t xml:space="preserve"> </w:t>
      </w:r>
      <w:r>
        <w:rPr>
          <w:rFonts w:ascii="Calibri" w:cs="Calibri" w:eastAsia="Calibri" w:hAnsi="Calibri"/>
          <w:b/>
          <w:bCs/>
          <w:sz w:val="21"/>
          <w:szCs w:val="21"/>
        </w:rPr>
        <w:t xml:space="preserve">[______ (DIN ______) retires by rotation at the ensuing Annual General Meeting and, being eligible, offers himself or herself for re-appointment. / The Company has no director liable to retire by rotation.]</w:t>
      </w:r>
    </w:p>
    <w:p>
      <w:pPr>
        <w:spacing w:after="160" w:before="0" w:line="276"/>
        <w:jc w:val="both"/>
      </w:pPr>
      <w:r>
        <w:rPr>
          <w:rFonts w:ascii="Calibri" w:cs="Calibri" w:eastAsia="Calibri" w:hAnsi="Calibri"/>
          <w:b/>
          <w:bCs/>
          <w:sz w:val="21"/>
          <w:szCs w:val="21"/>
        </w:rPr>
        <w:t xml:space="preserve">Declarations.</w:t>
      </w:r>
      <w:r>
        <w:rPr>
          <w:rFonts w:ascii="Calibri" w:cs="Calibri" w:eastAsia="Calibri" w:hAnsi="Calibri"/>
          <w:sz w:val="21"/>
          <w:szCs w:val="21"/>
        </w:rPr>
        <w:t xml:space="preserve"> Each director has given a declaration that he or she is not disqualified from being appointed or continuing as a director. </w:t>
      </w:r>
      <w:r>
        <w:rPr>
          <w:rFonts w:ascii="Calibri" w:cs="Calibri" w:eastAsia="Calibri" w:hAnsi="Calibri"/>
          <w:b/>
          <w:bCs/>
          <w:sz w:val="21"/>
          <w:szCs w:val="21"/>
        </w:rPr>
        <w:t xml:space="preserve">[Each independent director has given a declaration that he or she meets the criteria of independence, and the Board is of the opinion that each independent director possesses the requisite integrity, expertise and experience.]</w:t>
      </w:r>
    </w:p>
    <w:p>
      <w:pPr>
        <w:keepNext/>
        <w:spacing w:after="120" w:before="280"/>
        <w:outlineLvl w:val="0"/>
      </w:pPr>
      <w:r>
        <w:rPr>
          <w:rFonts w:ascii="Calibri" w:cs="Calibri" w:eastAsia="Calibri" w:hAnsi="Calibri"/>
          <w:b/>
          <w:bCs/>
          <w:color w:val="14161B"/>
          <w:sz w:val="22"/>
          <w:szCs w:val="22"/>
        </w:rPr>
        <w:t xml:space="preserve">7. NUMBER OF MEETINGS OF THE BOARD</w:t>
      </w:r>
    </w:p>
    <w:p>
      <w:pPr>
        <w:spacing w:after="100" w:before="0" w:line="276"/>
        <w:jc w:val="both"/>
      </w:pPr>
      <w:r>
        <w:rPr>
          <w:rFonts w:ascii="Calibri" w:cs="Calibri" w:eastAsia="Calibri" w:hAnsi="Calibri"/>
          <w:sz w:val="21"/>
          <w:szCs w:val="21"/>
        </w:rPr>
        <w:t xml:space="preserve">The Board met </w:t>
      </w:r>
      <w:r>
        <w:rPr>
          <w:rFonts w:ascii="Calibri" w:cs="Calibri" w:eastAsia="Calibri" w:hAnsi="Calibri"/>
          <w:b/>
          <w:bCs/>
          <w:sz w:val="21"/>
          <w:szCs w:val="21"/>
        </w:rPr>
        <w:t xml:space="preserve">[NUMBER]</w:t>
      </w:r>
      <w:r>
        <w:rPr>
          <w:rFonts w:ascii="Calibri" w:cs="Calibri" w:eastAsia="Calibri" w:hAnsi="Calibri"/>
          <w:sz w:val="21"/>
          <w:szCs w:val="21"/>
        </w:rPr>
        <w:t xml:space="preserve"> times during the financial year. The dates of the meetings and the attendance of each director were as follows, and the maximum interval between any two consecutive meetings did not exceed the period prescribed.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2120"/>
        <w:gridCol w:w="1927"/>
        <w:gridCol w:w="1736"/>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Director</w:t>
            </w:r>
          </w:p>
        </w:tc>
        <w:tc>
          <w:tcPr>
            <w:tcW w:type="dxa" w:w="212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Meetings held during tenure</w:t>
            </w:r>
          </w:p>
        </w:tc>
        <w:tc>
          <w:tcPr>
            <w:tcW w:type="dxa" w:w="192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Meetings attended</w:t>
            </w:r>
          </w:p>
        </w:tc>
        <w:tc>
          <w:tcPr>
            <w:tcW w:type="dxa" w:w="1736"/>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Attendance %</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736"/>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736"/>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736"/>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r>
    </w:tbl>
    <w:p>
      <w:pPr>
        <w:spacing w:after="120"/>
      </w:pPr>
    </w:p>
    <w:p>
      <w:pPr>
        <w:spacing w:after="160" w:before="0" w:line="276"/>
        <w:jc w:val="both"/>
      </w:pPr>
      <w:r>
        <w:rPr>
          <w:rFonts w:ascii="Calibri" w:cs="Calibri" w:eastAsia="Calibri" w:hAnsi="Calibri"/>
          <w:b/>
          <w:bCs/>
          <w:sz w:val="21"/>
          <w:szCs w:val="21"/>
        </w:rPr>
        <w:t xml:space="preserve">[The Company has constituted the following committees, whose composition, terms of reference and meetings held during the year are set out at Annexure ______: ______. / The Company is not required to constitute any committee of the Board.]</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8. DIRECTORS’ RESPONSIBILITY STATEMENT</w:t>
      </w:r>
    </w:p>
    <w:p>
      <w:pPr>
        <w:spacing w:after="120" w:before="0" w:line="276"/>
        <w:jc w:val="both"/>
      </w:pPr>
      <w:r>
        <w:rPr>
          <w:rFonts w:ascii="Calibri" w:cs="Calibri" w:eastAsia="Calibri" w:hAnsi="Calibri"/>
          <w:sz w:val="21"/>
          <w:szCs w:val="21"/>
        </w:rPr>
        <w:t xml:space="preserve">Pursuant to the requirement of the Companies Act, 2013, your Directors state that: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in the preparation of the annual accounts for the financial year ended </w:t>
      </w:r>
      <w:r>
        <w:rPr>
          <w:rFonts w:ascii="Calibri" w:cs="Calibri" w:eastAsia="Calibri" w:hAnsi="Calibri"/>
          <w:b/>
          <w:bCs/>
          <w:sz w:val="21"/>
          <w:szCs w:val="21"/>
        </w:rPr>
        <w:t xml:space="preserve">[DATE]</w:t>
      </w:r>
      <w:r>
        <w:rPr>
          <w:rFonts w:ascii="Calibri" w:cs="Calibri" w:eastAsia="Calibri" w:hAnsi="Calibri"/>
          <w:sz w:val="21"/>
          <w:szCs w:val="21"/>
        </w:rPr>
        <w:t xml:space="preserve">, the applicable accounting standards have been followed, and there are no material departures;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Directors have selected such accounting policies and applied them consistently, and made judgments and estimates that are reasonable and prudent, so as to give a true and fair view of the state of affairs of the Company at the end of the financial year and of the profit or loss of the Company for that period;</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Directors have taken proper and sufficient care for the maintenance of adequate accounting records in accordance with the provisions of the Companies Act, 2013 for safeguarding the assets of the Company and for preventing and detecting fraud and other irregularities;</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Directors have prepared the annual accounts on a going concern basis;</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b/>
          <w:bCs/>
          <w:sz w:val="21"/>
          <w:szCs w:val="21"/>
        </w:rPr>
        <w:t xml:space="preserve">[applicable to listed companies]</w:t>
      </w:r>
      <w:r>
        <w:rPr>
          <w:rFonts w:ascii="Calibri" w:cs="Calibri" w:eastAsia="Calibri" w:hAnsi="Calibri"/>
          <w:sz w:val="21"/>
          <w:szCs w:val="21"/>
        </w:rPr>
        <w:t xml:space="preserve"> the Directors have laid down internal financial controls to be followed by the Company, and such internal financial controls are adequate and were operating effectively; and</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the Directors have devised proper systems to ensure compliance with the provisions of all applicable laws, and such systems are adequate and were operating effectively.</w:t>
      </w:r>
    </w:p>
    <w:p>
      <w:pPr>
        <w:keepNext/>
        <w:spacing w:after="120" w:before="280"/>
        <w:outlineLvl w:val="0"/>
      </w:pPr>
      <w:r>
        <w:rPr>
          <w:rFonts w:ascii="Calibri" w:cs="Calibri" w:eastAsia="Calibri" w:hAnsi="Calibri"/>
          <w:b/>
          <w:bCs/>
          <w:color w:val="14161B"/>
          <w:sz w:val="22"/>
          <w:szCs w:val="22"/>
        </w:rPr>
        <w:t xml:space="preserve">9. AUDITORS AND AUDITORS’ REPORT</w:t>
      </w:r>
    </w:p>
    <w:p>
      <w:pPr>
        <w:spacing w:after="120" w:before="0" w:line="276"/>
        <w:jc w:val="both"/>
      </w:pPr>
      <w:r>
        <w:rPr>
          <w:rFonts w:ascii="Calibri" w:cs="Calibri" w:eastAsia="Calibri" w:hAnsi="Calibri"/>
          <w:b/>
          <w:bCs/>
          <w:sz w:val="21"/>
          <w:szCs w:val="21"/>
        </w:rPr>
        <w:t xml:space="preserve">Statutory auditors.</w:t>
      </w:r>
      <w:r>
        <w:rPr>
          <w:rFonts w:ascii="Calibri" w:cs="Calibri" w:eastAsia="Calibri" w:hAnsi="Calibri"/>
          <w:sz w:val="21"/>
          <w:szCs w:val="21"/>
        </w:rPr>
        <w:t xml:space="preserve"> </w:t>
      </w:r>
      <w:r>
        <w:rPr>
          <w:rFonts w:ascii="Calibri" w:cs="Calibri" w:eastAsia="Calibri" w:hAnsi="Calibri"/>
          <w:b/>
          <w:bCs/>
          <w:sz w:val="21"/>
          <w:szCs w:val="21"/>
        </w:rPr>
        <w:t xml:space="preserve">[FIRM NAME]</w:t>
      </w:r>
      <w:r>
        <w:rPr>
          <w:rFonts w:ascii="Calibri" w:cs="Calibri" w:eastAsia="Calibri" w:hAnsi="Calibri"/>
          <w:sz w:val="21"/>
          <w:szCs w:val="21"/>
        </w:rPr>
        <w:t xml:space="preserve">, Chartered Accountants (Firm Registration No. </w:t>
      </w:r>
      <w:r>
        <w:rPr>
          <w:rFonts w:ascii="Calibri" w:cs="Calibri" w:eastAsia="Calibri" w:hAnsi="Calibri"/>
          <w:b/>
          <w:bCs/>
          <w:sz w:val="21"/>
          <w:szCs w:val="21"/>
        </w:rPr>
        <w:t xml:space="preserve">[FRN]</w:t>
      </w:r>
      <w:r>
        <w:rPr>
          <w:rFonts w:ascii="Calibri" w:cs="Calibri" w:eastAsia="Calibri" w:hAnsi="Calibri"/>
          <w:sz w:val="21"/>
          <w:szCs w:val="21"/>
        </w:rPr>
        <w:t xml:space="preserve">), were appointed as the Statutory Auditors of the Company for a term of </w:t>
      </w:r>
      <w:r>
        <w:rPr>
          <w:rFonts w:ascii="Calibri" w:cs="Calibri" w:eastAsia="Calibri" w:hAnsi="Calibri"/>
          <w:b/>
          <w:bCs/>
          <w:sz w:val="21"/>
          <w:szCs w:val="21"/>
        </w:rPr>
        <w:t xml:space="preserve">[NUMBER]</w:t>
      </w:r>
      <w:r>
        <w:rPr>
          <w:rFonts w:ascii="Calibri" w:cs="Calibri" w:eastAsia="Calibri" w:hAnsi="Calibri"/>
          <w:sz w:val="21"/>
          <w:szCs w:val="21"/>
        </w:rPr>
        <w:t xml:space="preserve"> years from the conclusion of the </w:t>
      </w:r>
      <w:r>
        <w:rPr>
          <w:rFonts w:ascii="Calibri" w:cs="Calibri" w:eastAsia="Calibri" w:hAnsi="Calibri"/>
          <w:b/>
          <w:bCs/>
          <w:sz w:val="21"/>
          <w:szCs w:val="21"/>
        </w:rPr>
        <w:t xml:space="preserve">[NUMBER]</w:t>
      </w:r>
      <w:r>
        <w:rPr>
          <w:rFonts w:ascii="Calibri" w:cs="Calibri" w:eastAsia="Calibri" w:hAnsi="Calibri"/>
          <w:sz w:val="21"/>
          <w:szCs w:val="21"/>
        </w:rPr>
        <w:t xml:space="preserve">th Annual General Meeting. </w:t>
      </w:r>
      <w:r>
        <w:rPr>
          <w:rFonts w:ascii="Calibri" w:cs="Calibri" w:eastAsia="Calibri" w:hAnsi="Calibri"/>
          <w:b/>
          <w:bCs/>
          <w:sz w:val="21"/>
          <w:szCs w:val="21"/>
        </w:rPr>
        <w:t xml:space="preserve">[They continue to hold office. / Their term concludes at the ensuing Annual General Meeting and the Board recommends ______ for appointment.]</w:t>
      </w:r>
    </w:p>
    <w:p>
      <w:pPr>
        <w:spacing w:after="120" w:before="0" w:line="276"/>
        <w:jc w:val="both"/>
      </w:pPr>
      <w:r>
        <w:rPr>
          <w:rFonts w:ascii="Calibri" w:cs="Calibri" w:eastAsia="Calibri" w:hAnsi="Calibri"/>
          <w:b/>
          <w:bCs/>
          <w:sz w:val="21"/>
          <w:szCs w:val="21"/>
        </w:rPr>
        <w:t xml:space="preserve">Auditors’ report.</w:t>
      </w:r>
      <w:r>
        <w:rPr>
          <w:rFonts w:ascii="Calibri" w:cs="Calibri" w:eastAsia="Calibri" w:hAnsi="Calibri"/>
          <w:sz w:val="21"/>
          <w:szCs w:val="21"/>
        </w:rPr>
        <w:t xml:space="preserve"> The Auditors’ report on the financial statements for the year does not contain any qualification, reservation, adverse remark or disclaimer. </w:t>
      </w:r>
      <w:r>
        <w:rPr>
          <w:rFonts w:ascii="Calibri" w:cs="Calibri" w:eastAsia="Calibri" w:hAnsi="Calibri"/>
          <w:b/>
          <w:bCs/>
          <w:sz w:val="21"/>
          <w:szCs w:val="21"/>
        </w:rPr>
        <w:t xml:space="preserve">[The observations made by the Auditors at paragraph ______ of their report, and the response of the Board to each, are as follows: ______.]</w:t>
      </w:r>
    </w:p>
    <w:p>
      <w:pPr>
        <w:spacing w:after="120" w:before="0" w:line="276"/>
        <w:jc w:val="both"/>
      </w:pPr>
      <w:r>
        <w:rPr>
          <w:rFonts w:ascii="Calibri" w:cs="Calibri" w:eastAsia="Calibri" w:hAnsi="Calibri"/>
          <w:b/>
          <w:bCs/>
          <w:sz w:val="21"/>
          <w:szCs w:val="21"/>
        </w:rPr>
        <w:t xml:space="preserve">Reporting of fraud.</w:t>
      </w:r>
      <w:r>
        <w:rPr>
          <w:rFonts w:ascii="Calibri" w:cs="Calibri" w:eastAsia="Calibri" w:hAnsi="Calibri"/>
          <w:sz w:val="21"/>
          <w:szCs w:val="21"/>
        </w:rPr>
        <w:t xml:space="preserve"> During the year, the Auditors have not reported any instance of fraud to the Board or to the Audit Committee. </w:t>
      </w:r>
      <w:r>
        <w:rPr>
          <w:rFonts w:ascii="Calibri" w:cs="Calibri" w:eastAsia="Calibri" w:hAnsi="Calibri"/>
          <w:b/>
          <w:bCs/>
          <w:sz w:val="21"/>
          <w:szCs w:val="21"/>
        </w:rPr>
        <w:t xml:space="preserve">[Particulars of the fraud reported are as follows: ______.]</w:t>
      </w:r>
    </w:p>
    <w:p>
      <w:pPr>
        <w:spacing w:after="120" w:before="0" w:line="276"/>
        <w:jc w:val="both"/>
      </w:pPr>
      <w:r>
        <w:rPr>
          <w:rFonts w:ascii="Calibri" w:cs="Calibri" w:eastAsia="Calibri" w:hAnsi="Calibri"/>
          <w:b/>
          <w:bCs/>
          <w:sz w:val="21"/>
          <w:szCs w:val="21"/>
        </w:rPr>
        <w:t xml:space="preserve">Secretarial audit.</w:t>
      </w:r>
      <w:r>
        <w:rPr>
          <w:rFonts w:ascii="Calibri" w:cs="Calibri" w:eastAsia="Calibri" w:hAnsi="Calibri"/>
          <w:sz w:val="21"/>
          <w:szCs w:val="21"/>
        </w:rPr>
        <w:t xml:space="preserve"> </w:t>
      </w:r>
      <w:r>
        <w:rPr>
          <w:rFonts w:ascii="Calibri" w:cs="Calibri" w:eastAsia="Calibri" w:hAnsi="Calibri"/>
          <w:b/>
          <w:bCs/>
          <w:sz w:val="21"/>
          <w:szCs w:val="21"/>
        </w:rPr>
        <w:t xml:space="preserve">[The Company is not required to obtain a secretarial audit report. / The secretarial audit report issued by ______, Company Secretary in Practice, is annexed at Annexure ______, and the observations made in it, together with the response of the Board, are as follows: ______.]</w:t>
      </w:r>
    </w:p>
    <w:p>
      <w:pPr>
        <w:spacing w:after="160" w:before="0" w:line="276"/>
        <w:jc w:val="both"/>
      </w:pPr>
      <w:r>
        <w:rPr>
          <w:rFonts w:ascii="Calibri" w:cs="Calibri" w:eastAsia="Calibri" w:hAnsi="Calibri"/>
          <w:b/>
          <w:bCs/>
          <w:sz w:val="21"/>
          <w:szCs w:val="21"/>
        </w:rPr>
        <w:t xml:space="preserve">Cost records and cost audit.</w:t>
      </w:r>
      <w:r>
        <w:rPr>
          <w:rFonts w:ascii="Calibri" w:cs="Calibri" w:eastAsia="Calibri" w:hAnsi="Calibri"/>
          <w:sz w:val="21"/>
          <w:szCs w:val="21"/>
        </w:rPr>
        <w:t xml:space="preserve"> </w:t>
      </w:r>
      <w:r>
        <w:rPr>
          <w:rFonts w:ascii="Calibri" w:cs="Calibri" w:eastAsia="Calibri" w:hAnsi="Calibri"/>
          <w:b/>
          <w:bCs/>
          <w:sz w:val="21"/>
          <w:szCs w:val="21"/>
        </w:rPr>
        <w:t xml:space="preserve">[The maintenance of cost records is not applicable to the Company. / The Company maintains cost records as required, and ______ has been appointed as the Cost Auditor for the financial year.]</w:t>
      </w:r>
    </w:p>
    <w:p>
      <w:pPr>
        <w:keepNext/>
        <w:spacing w:after="120" w:before="280"/>
        <w:outlineLvl w:val="0"/>
      </w:pPr>
      <w:r>
        <w:rPr>
          <w:rFonts w:ascii="Calibri" w:cs="Calibri" w:eastAsia="Calibri" w:hAnsi="Calibri"/>
          <w:b/>
          <w:bCs/>
          <w:color w:val="14161B"/>
          <w:sz w:val="22"/>
          <w:szCs w:val="22"/>
        </w:rPr>
        <w:t xml:space="preserve">10. ANNUAL RETURN</w:t>
      </w:r>
    </w:p>
    <w:p>
      <w:pPr>
        <w:spacing w:after="160" w:before="0" w:line="276"/>
        <w:jc w:val="both"/>
      </w:pPr>
      <w:r>
        <w:rPr>
          <w:rFonts w:ascii="Calibri" w:cs="Calibri" w:eastAsia="Calibri" w:hAnsi="Calibri"/>
          <w:b/>
          <w:bCs/>
          <w:sz w:val="21"/>
          <w:szCs w:val="21"/>
        </w:rPr>
        <w:t xml:space="preserve">[The annual return of the Company as required under the Companies Act, 2013 is available on the website of the Company at ______. / A copy of the annual return will be filed with the Registrar of Companies within the period prescribed and is available for inspection at the registered office.]</w:t>
      </w:r>
    </w:p>
    <w:p>
      <w:pPr>
        <w:keepNext/>
        <w:spacing w:after="120" w:before="280"/>
        <w:outlineLvl w:val="0"/>
      </w:pPr>
      <w:r>
        <w:rPr>
          <w:rFonts w:ascii="Calibri" w:cs="Calibri" w:eastAsia="Calibri" w:hAnsi="Calibri"/>
          <w:b/>
          <w:bCs/>
          <w:color w:val="14161B"/>
          <w:sz w:val="22"/>
          <w:szCs w:val="22"/>
        </w:rPr>
        <w:t xml:space="preserve">11. PARTICULARS OF LOANS, GUARANTEES AND INVESTMENTS</w:t>
      </w:r>
    </w:p>
    <w:p>
      <w:pPr>
        <w:spacing w:after="160" w:before="0" w:line="276"/>
        <w:jc w:val="both"/>
      </w:pPr>
      <w:r>
        <w:rPr>
          <w:rFonts w:ascii="Calibri" w:cs="Calibri" w:eastAsia="Calibri" w:hAnsi="Calibri"/>
          <w:b/>
          <w:bCs/>
          <w:sz w:val="21"/>
          <w:szCs w:val="21"/>
        </w:rPr>
        <w:t xml:space="preserve">[Particulars of loans given, guarantees given, security provided and investments made by the Company during the financial year, together with the purpose for which each is proposed to be utilised by the recipient, are set out in the notes to the financial statements. / The Company has not given any loan, guarantee or security, or made any investment, falling within the provisions of the Companies Act, 2013 relating to loans and investments by a company.]</w:t>
      </w:r>
    </w:p>
    <w:p>
      <w:pPr>
        <w:keepNext/>
        <w:spacing w:after="120" w:before="280"/>
        <w:outlineLvl w:val="0"/>
      </w:pPr>
      <w:r>
        <w:rPr>
          <w:rFonts w:ascii="Calibri" w:cs="Calibri" w:eastAsia="Calibri" w:hAnsi="Calibri"/>
          <w:b/>
          <w:bCs/>
          <w:color w:val="14161B"/>
          <w:sz w:val="22"/>
          <w:szCs w:val="22"/>
        </w:rPr>
        <w:t xml:space="preserve">12. RELATED PARTY TRANSACTIONS</w:t>
      </w:r>
    </w:p>
    <w:p>
      <w:pPr>
        <w:spacing w:after="120" w:before="0" w:line="276"/>
        <w:jc w:val="both"/>
      </w:pPr>
      <w:r>
        <w:rPr>
          <w:rFonts w:ascii="Calibri" w:cs="Calibri" w:eastAsia="Calibri" w:hAnsi="Calibri"/>
          <w:b/>
          <w:bCs/>
          <w:sz w:val="21"/>
          <w:szCs w:val="21"/>
        </w:rPr>
        <w:t xml:space="preserve">[All contracts and arrangements entered into by the Company with related parties during the financial year were in the ordinary course of business and on an arm’s length basis, and none was material as defined. Accordingly, no disclosure is required in the prescribed form. / Particulars of contracts and arrangements with related parties which were not at arm’s length or not in the ordinary course of business, together with the justification for entering into each, are set out at Annexure ______ in the prescribed form.]</w:t>
      </w:r>
    </w:p>
    <w:p>
      <w:pPr>
        <w:spacing w:after="160" w:before="0" w:line="276"/>
        <w:jc w:val="both"/>
      </w:pPr>
      <w:r>
        <w:rPr>
          <w:rFonts w:ascii="Calibri" w:cs="Calibri" w:eastAsia="Calibri" w:hAnsi="Calibri"/>
          <w:sz w:val="21"/>
          <w:szCs w:val="21"/>
        </w:rPr>
        <w:t xml:space="preserve">Related party transactions are disclosed in the notes to the financial statements in accordance with the applicable accounting standard. The policy of the Company on dealing with related party transactions </w:t>
      </w:r>
      <w:r>
        <w:rPr>
          <w:rFonts w:ascii="Calibri" w:cs="Calibri" w:eastAsia="Calibri" w:hAnsi="Calibri"/>
          <w:b/>
          <w:bCs/>
          <w:sz w:val="21"/>
          <w:szCs w:val="21"/>
        </w:rPr>
        <w:t xml:space="preserve">[is available on the website of the Company at ______ / is annexed at Annexure ______]</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13. MATERIAL CHANGES AND COMMITMENTS</w:t>
      </w:r>
    </w:p>
    <w:p>
      <w:pPr>
        <w:spacing w:after="160" w:before="0" w:line="276"/>
        <w:jc w:val="both"/>
      </w:pPr>
      <w:r>
        <w:rPr>
          <w:rFonts w:ascii="Calibri" w:cs="Calibri" w:eastAsia="Calibri" w:hAnsi="Calibri"/>
          <w:b/>
          <w:bCs/>
          <w:sz w:val="21"/>
          <w:szCs w:val="21"/>
        </w:rPr>
        <w:t xml:space="preserve">[No material change or commitment affecting the financial position of the Company has occurred between the end of the financial year and the date of this report. / The following material changes and commitments have occurred between the end of the financial year and the date of this report: ______.]</w:t>
      </w:r>
    </w:p>
    <w:p>
      <w:pPr>
        <w:keepNext/>
        <w:spacing w:after="120" w:before="280"/>
        <w:outlineLvl w:val="0"/>
      </w:pPr>
      <w:r>
        <w:rPr>
          <w:rFonts w:ascii="Calibri" w:cs="Calibri" w:eastAsia="Calibri" w:hAnsi="Calibri"/>
          <w:b/>
          <w:bCs/>
          <w:color w:val="14161B"/>
          <w:sz w:val="22"/>
          <w:szCs w:val="22"/>
        </w:rPr>
        <w:t xml:space="preserve">14. CONSERVATION OF ENERGY, TECHNOLOGY ABSORPTION, AND FOREIGN EXCHANGE</w:t>
      </w:r>
    </w:p>
    <w:p>
      <w:pPr>
        <w:keepNext/>
        <w:spacing w:after="100" w:before="200"/>
        <w:outlineLvl w:val="1"/>
      </w:pPr>
      <w:r>
        <w:rPr>
          <w:rFonts w:ascii="Calibri" w:cs="Calibri" w:eastAsia="Calibri" w:hAnsi="Calibri"/>
          <w:b/>
          <w:bCs/>
          <w:color w:val="14161B"/>
          <w:sz w:val="21"/>
          <w:szCs w:val="21"/>
        </w:rPr>
        <w:t xml:space="preserve">Conservation of energy</w:t>
      </w:r>
    </w:p>
    <w:p>
      <w:pPr>
        <w:spacing w:after="120" w:before="0" w:line="276"/>
        <w:jc w:val="both"/>
      </w:pPr>
      <w:r>
        <w:rPr>
          <w:rFonts w:ascii="Calibri" w:cs="Calibri" w:eastAsia="Calibri" w:hAnsi="Calibri"/>
          <w:b/>
          <w:bCs/>
          <w:sz w:val="21"/>
          <w:szCs w:val="21"/>
        </w:rPr>
        <w:t xml:space="preserve">[DESCRIBE the steps taken or impact on conservation of energy, the steps taken for utilising alternate sources of energy, and the capital investment in energy conservation equipment. Where the Company’s operations are not energy-intensive, say so and state the measures nonetheless taken — do not leave the heading blank.]</w:t>
      </w:r>
    </w:p>
    <w:p>
      <w:pPr>
        <w:keepNext/>
        <w:spacing w:after="100" w:before="200"/>
        <w:outlineLvl w:val="1"/>
      </w:pPr>
      <w:r>
        <w:rPr>
          <w:rFonts w:ascii="Calibri" w:cs="Calibri" w:eastAsia="Calibri" w:hAnsi="Calibri"/>
          <w:b/>
          <w:bCs/>
          <w:color w:val="14161B"/>
          <w:sz w:val="21"/>
          <w:szCs w:val="21"/>
        </w:rPr>
        <w:t xml:space="preserve">Technology absorption</w:t>
      </w:r>
    </w:p>
    <w:p>
      <w:pPr>
        <w:spacing w:after="120" w:before="0" w:line="276"/>
        <w:jc w:val="both"/>
      </w:pPr>
      <w:r>
        <w:rPr>
          <w:rFonts w:ascii="Calibri" w:cs="Calibri" w:eastAsia="Calibri" w:hAnsi="Calibri"/>
          <w:b/>
          <w:bCs/>
          <w:sz w:val="21"/>
          <w:szCs w:val="21"/>
        </w:rPr>
        <w:t xml:space="preserve">[DESCRIBE the efforts made towards technology absorption, the benefits derived, particulars of technology imported in the last three years and whether it has been absorbed, and expenditure on research and development.]</w:t>
      </w:r>
    </w:p>
    <w:p>
      <w:pPr>
        <w:keepNext/>
        <w:spacing w:after="100" w:before="200"/>
        <w:outlineLvl w:val="1"/>
      </w:pPr>
      <w:r>
        <w:rPr>
          <w:rFonts w:ascii="Calibri" w:cs="Calibri" w:eastAsia="Calibri" w:hAnsi="Calibri"/>
          <w:b/>
          <w:bCs/>
          <w:color w:val="14161B"/>
          <w:sz w:val="21"/>
          <w:szCs w:val="21"/>
        </w:rPr>
        <w:t xml:space="preserve">Foreign exchange earnings and outgo</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9"/>
        <w:gridCol w:w="2409"/>
        <w:gridCol w:w="2410"/>
      </w:tblGrid>
      <w:tr>
        <w:trPr>
          <w:tblHeader/>
        </w:trPr>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w:t>
            </w:r>
          </w:p>
        </w:tc>
        <w:tc>
          <w:tcPr>
            <w:tcW w:type="dxa" w:w="240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Year ended </w:t>
            </w:r>
            <w:r>
              <w:rPr>
                <w:rFonts w:ascii="Calibri" w:cs="Calibri" w:eastAsia="Calibri" w:hAnsi="Calibri"/>
                <w:b/>
                <w:bCs/>
                <w:sz w:val="19"/>
                <w:szCs w:val="19"/>
              </w:rPr>
              <w:t xml:space="preserve">[DATE]</w:t>
            </w:r>
            <w:r>
              <w:rPr>
                <w:rFonts w:ascii="Calibri" w:cs="Calibri" w:eastAsia="Calibri" w:hAnsi="Calibri"/>
                <w:b/>
                <w:bCs/>
                <w:sz w:val="19"/>
                <w:szCs w:val="19"/>
              </w:rPr>
              <w:t xml:space="preserve"> (₹ in lakh)</w:t>
            </w:r>
          </w:p>
        </w:tc>
        <w:tc>
          <w:tcPr>
            <w:tcW w:type="dxa" w:w="241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Year ended </w:t>
            </w:r>
            <w:r>
              <w:rPr>
                <w:rFonts w:ascii="Calibri" w:cs="Calibri" w:eastAsia="Calibri" w:hAnsi="Calibri"/>
                <w:b/>
                <w:bCs/>
                <w:sz w:val="19"/>
                <w:szCs w:val="19"/>
              </w:rPr>
              <w:t xml:space="preserve">[DATE]</w:t>
            </w:r>
            <w:r>
              <w:rPr>
                <w:rFonts w:ascii="Calibri" w:cs="Calibri" w:eastAsia="Calibri" w:hAnsi="Calibri"/>
                <w:b/>
                <w:bCs/>
                <w:sz w:val="19"/>
                <w:szCs w:val="19"/>
              </w:rPr>
              <w:t xml:space="preserve"> (₹ in lakh)</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Foreign exchange earned in terms of actual inflows</w:t>
            </w:r>
          </w:p>
        </w:tc>
        <w:tc>
          <w:tcPr>
            <w:tcW w:type="dxa" w:w="240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41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Foreign exchange outgo in terms of actual outflows</w:t>
            </w:r>
          </w:p>
        </w:tc>
        <w:tc>
          <w:tcPr>
            <w:tcW w:type="dxa" w:w="240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41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15. RISK MANAGEMENT</w:t>
      </w:r>
    </w:p>
    <w:p>
      <w:pPr>
        <w:spacing w:after="160" w:before="0" w:line="276"/>
        <w:jc w:val="both"/>
      </w:pPr>
      <w:r>
        <w:rPr>
          <w:rFonts w:ascii="Calibri" w:cs="Calibri" w:eastAsia="Calibri" w:hAnsi="Calibri"/>
          <w:b/>
          <w:bCs/>
          <w:sz w:val="21"/>
          <w:szCs w:val="21"/>
        </w:rPr>
        <w:t xml:space="preserve">[DESCRIBE the risk management policy of the Company, the principal risks identified — which may include customer concentration, key person dependency, technology and information security, data protection, regulatory change, foreign exchange, and liquidity — and the mitigation measures adopted. State whether in the opinion of the Board any risk threatens the existence of the Company.]</w:t>
      </w:r>
    </w:p>
    <w:p>
      <w:pPr>
        <w:keepNext/>
        <w:spacing w:after="120" w:before="280"/>
        <w:outlineLvl w:val="0"/>
      </w:pPr>
      <w:r>
        <w:rPr>
          <w:rFonts w:ascii="Calibri" w:cs="Calibri" w:eastAsia="Calibri" w:hAnsi="Calibri"/>
          <w:b/>
          <w:bCs/>
          <w:color w:val="14161B"/>
          <w:sz w:val="22"/>
          <w:szCs w:val="22"/>
        </w:rPr>
        <w:t xml:space="preserve">16. INTERNAL FINANCIAL CONTROLS</w:t>
      </w:r>
    </w:p>
    <w:p>
      <w:pPr>
        <w:spacing w:after="160" w:before="0" w:line="276"/>
        <w:jc w:val="both"/>
      </w:pPr>
      <w:r>
        <w:rPr>
          <w:rFonts w:ascii="Calibri" w:cs="Calibri" w:eastAsia="Calibri" w:hAnsi="Calibri"/>
          <w:b/>
          <w:bCs/>
          <w:sz w:val="21"/>
          <w:szCs w:val="21"/>
        </w:rPr>
        <w:t xml:space="preserve">[The Company has in place internal financial controls commensurate with the size, scale and complexity of its operations, covering ______. During the year such controls were tested and no reportable material weakness was observed. / Particulars of the weaknesses observed and the remediation undertaken are as follows: ______.]</w:t>
      </w:r>
    </w:p>
    <w:p>
      <w:pPr>
        <w:keepNext/>
        <w:spacing w:after="120" w:before="280"/>
        <w:outlineLvl w:val="0"/>
      </w:pPr>
      <w:r>
        <w:rPr>
          <w:rFonts w:ascii="Calibri" w:cs="Calibri" w:eastAsia="Calibri" w:hAnsi="Calibri"/>
          <w:b/>
          <w:bCs/>
          <w:color w:val="14161B"/>
          <w:sz w:val="22"/>
          <w:szCs w:val="22"/>
        </w:rPr>
        <w:t xml:space="preserve">17. CORPORATE SOCIAL RESPONSIBILITY</w:t>
      </w:r>
    </w:p>
    <w:p>
      <w:pPr>
        <w:spacing w:after="160" w:before="0" w:line="276"/>
        <w:jc w:val="both"/>
      </w:pPr>
      <w:r>
        <w:rPr>
          <w:rFonts w:ascii="Calibri" w:cs="Calibri" w:eastAsia="Calibri" w:hAnsi="Calibri"/>
          <w:b/>
          <w:bCs/>
          <w:sz w:val="21"/>
          <w:szCs w:val="21"/>
        </w:rPr>
        <w:t xml:space="preserve">[The provisions of the Companies Act, 2013 relating to corporate social responsibility are not applicable to the Company for the financial year, as the Company did not meet any of the prescribed thresholds of net worth, turnover or net profit. / The Company has constituted a Corporate Social Responsibility Committee comprising ______. The CSR policy of the Company is available at ______. The annual report on CSR activities, in the format prescribed, is annexed at Annexure ______.]</w:t>
      </w:r>
    </w:p>
    <w:p>
      <w:pPr>
        <w:keepNext/>
        <w:spacing w:after="120" w:before="280"/>
        <w:outlineLvl w:val="0"/>
      </w:pPr>
      <w:r>
        <w:rPr>
          <w:rFonts w:ascii="Calibri" w:cs="Calibri" w:eastAsia="Calibri" w:hAnsi="Calibri"/>
          <w:b/>
          <w:bCs/>
          <w:color w:val="14161B"/>
          <w:sz w:val="22"/>
          <w:szCs w:val="22"/>
        </w:rPr>
        <w:t xml:space="preserve">18. VIGIL MECHANISM</w:t>
      </w:r>
    </w:p>
    <w:p>
      <w:pPr>
        <w:spacing w:after="160" w:before="0" w:line="276"/>
        <w:jc w:val="both"/>
      </w:pPr>
      <w:r>
        <w:rPr>
          <w:rFonts w:ascii="Calibri" w:cs="Calibri" w:eastAsia="Calibri" w:hAnsi="Calibri"/>
          <w:b/>
          <w:bCs/>
          <w:sz w:val="21"/>
          <w:szCs w:val="21"/>
        </w:rPr>
        <w:t xml:space="preserve">[The Company is not required to establish a vigil mechanism. Nonetheless, the Company has adopted a whistleblower policy under which ______. / The Company has established a vigil mechanism for directors and employees to report genuine concerns, which provides for adequate safeguards against victimisation and for direct access to the chairperson of the Audit Committee in appropriate cases. The policy is available at ______.]</w:t>
      </w:r>
    </w:p>
    <w:p>
      <w:pPr>
        <w:keepNext/>
        <w:spacing w:after="120" w:before="280"/>
        <w:outlineLvl w:val="0"/>
      </w:pPr>
      <w:r>
        <w:rPr>
          <w:rFonts w:ascii="Calibri" w:cs="Calibri" w:eastAsia="Calibri" w:hAnsi="Calibri"/>
          <w:b/>
          <w:bCs/>
          <w:color w:val="14161B"/>
          <w:sz w:val="22"/>
          <w:szCs w:val="22"/>
        </w:rPr>
        <w:t xml:space="preserve">19. PREVENTION OF SEXUAL HARASSMENT AT THE WORKPLACE</w:t>
      </w:r>
    </w:p>
    <w:p>
      <w:pPr>
        <w:spacing w:after="100" w:before="0" w:line="276"/>
        <w:jc w:val="both"/>
      </w:pPr>
      <w:r>
        <w:rPr>
          <w:rFonts w:ascii="Calibri" w:cs="Calibri" w:eastAsia="Calibri" w:hAnsi="Calibri"/>
          <w:sz w:val="21"/>
          <w:szCs w:val="21"/>
        </w:rPr>
        <w:t xml:space="preserve">The Company has adopted a policy for the prevention, prohibition and redressal of sexual harassment at the workplace and has constituted an Internal Committee as required by the applicable legislation. The Company affirms that all employees, whether permanent, contractual, temporary or on probation, are covered by the policy.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7324"/>
        <w:gridCol w:w="2314"/>
      </w:tblGrid>
      <w:tr>
        <w:trPr>
          <w:tblHeader/>
        </w:trPr>
        <w:tc>
          <w:tcPr>
            <w:tcW w:type="dxa" w:w="732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w:t>
            </w:r>
          </w:p>
        </w:tc>
        <w:tc>
          <w:tcPr>
            <w:tcW w:type="dxa" w:w="231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r>
      <w:tr>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Number of complaints of sexual harassment received during the financial year</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r>
      <w:tr>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Number of complaints disposed of during the financial year</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r>
      <w:tr>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Number of cases pending for more than ninety days</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r>
      <w:tr>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Number of complaints pending as at the end of the financial year</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r>
      <w:tr>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Number of awareness programmes or workshops conducted during the year</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r>
    </w:tbl>
    <w:p>
      <w:pPr>
        <w:spacing w:after="140"/>
      </w:pPr>
    </w:p>
    <w:p>
      <w:pPr>
        <w:keepNext/>
        <w:spacing w:after="120" w:before="280"/>
        <w:outlineLvl w:val="0"/>
      </w:pPr>
      <w:r>
        <w:rPr>
          <w:rFonts w:ascii="Calibri" w:cs="Calibri" w:eastAsia="Calibri" w:hAnsi="Calibri"/>
          <w:b/>
          <w:bCs/>
          <w:color w:val="14161B"/>
          <w:sz w:val="22"/>
          <w:szCs w:val="22"/>
        </w:rPr>
        <w:t xml:space="preserve">20. MATERNITY BENEFIT COMPLIANCE</w:t>
      </w:r>
    </w:p>
    <w:p>
      <w:pPr>
        <w:spacing w:after="160" w:before="0" w:line="276"/>
        <w:jc w:val="both"/>
      </w:pPr>
      <w:r>
        <w:rPr>
          <w:rFonts w:ascii="Calibri" w:cs="Calibri" w:eastAsia="Calibri" w:hAnsi="Calibri"/>
          <w:sz w:val="21"/>
          <w:szCs w:val="21"/>
        </w:rPr>
        <w:t xml:space="preserve">The Company confirms that it has complied with the provisions relating to maternity benefit applicable to it.</w:t>
      </w:r>
    </w:p>
    <w:p>
      <w:pPr>
        <w:keepNext/>
        <w:spacing w:after="120" w:before="280"/>
        <w:outlineLvl w:val="0"/>
      </w:pPr>
      <w:r>
        <w:rPr>
          <w:rFonts w:ascii="Calibri" w:cs="Calibri" w:eastAsia="Calibri" w:hAnsi="Calibri"/>
          <w:b/>
          <w:bCs/>
          <w:color w:val="14161B"/>
          <w:sz w:val="22"/>
          <w:szCs w:val="22"/>
        </w:rPr>
        <w:t xml:space="preserve">21. SIGNIFICANT ORDERS AND PROCEEDINGS</w:t>
      </w:r>
    </w:p>
    <w:p>
      <w:pPr>
        <w:spacing w:after="120" w:before="0" w:line="276"/>
        <w:jc w:val="both"/>
      </w:pPr>
      <w:r>
        <w:rPr>
          <w:rFonts w:ascii="Calibri" w:cs="Calibri" w:eastAsia="Calibri" w:hAnsi="Calibri"/>
          <w:b/>
          <w:bCs/>
          <w:sz w:val="21"/>
          <w:szCs w:val="21"/>
        </w:rPr>
        <w:t xml:space="preserve">[No significant or material order has been passed by any regulator, court or tribunal impacting the going concern status of the Company or its future operations. / The following orders have been passed: ______.]</w:t>
      </w:r>
    </w:p>
    <w:p>
      <w:pPr>
        <w:spacing w:after="120" w:before="0" w:line="276"/>
        <w:jc w:val="both"/>
      </w:pPr>
      <w:r>
        <w:rPr>
          <w:rFonts w:ascii="Calibri" w:cs="Calibri" w:eastAsia="Calibri" w:hAnsi="Calibri"/>
          <w:b/>
          <w:bCs/>
          <w:sz w:val="21"/>
          <w:szCs w:val="21"/>
        </w:rPr>
        <w:t xml:space="preserve">[No application has been made, and no proceeding is pending, under the insolvency legislation during the financial year. / Particulars are as follows: ______.]</w:t>
      </w:r>
    </w:p>
    <w:p>
      <w:pPr>
        <w:spacing w:after="160" w:before="0" w:line="276"/>
        <w:jc w:val="both"/>
      </w:pPr>
      <w:r>
        <w:rPr>
          <w:rFonts w:ascii="Calibri" w:cs="Calibri" w:eastAsia="Calibri" w:hAnsi="Calibri"/>
          <w:b/>
          <w:bCs/>
          <w:sz w:val="21"/>
          <w:szCs w:val="21"/>
        </w:rPr>
        <w:t xml:space="preserve">[There has been no one-time settlement of any loan taken from a bank or financial institution. / Particulars of the settlement, and the difference between the amount of the settlement and the amount of the loan, are as follows: ______.]</w:t>
      </w:r>
    </w:p>
    <w:p>
      <w:pPr>
        <w:keepNext/>
        <w:spacing w:after="120" w:before="280"/>
        <w:outlineLvl w:val="0"/>
      </w:pPr>
      <w:r>
        <w:rPr>
          <w:rFonts w:ascii="Calibri" w:cs="Calibri" w:eastAsia="Calibri" w:hAnsi="Calibri"/>
          <w:b/>
          <w:bCs/>
          <w:color w:val="14161B"/>
          <w:sz w:val="22"/>
          <w:szCs w:val="22"/>
        </w:rPr>
        <w:t xml:space="preserve">22. SUBSIDIARIES, ASSOCIATES AND JOINT VENTURES</w:t>
      </w:r>
    </w:p>
    <w:p>
      <w:pPr>
        <w:spacing w:after="160" w:before="0" w:line="276"/>
        <w:jc w:val="both"/>
      </w:pPr>
      <w:r>
        <w:rPr>
          <w:rFonts w:ascii="Calibri" w:cs="Calibri" w:eastAsia="Calibri" w:hAnsi="Calibri"/>
          <w:b/>
          <w:bCs/>
          <w:sz w:val="21"/>
          <w:szCs w:val="21"/>
        </w:rPr>
        <w:t xml:space="preserve">[The Company has no subsidiary, associate or joint venture company. / Particulars of the subsidiaries, associates and joint ventures of the Company, and a statement containing the salient features of their financial statements in the prescribed form, are annexed at Annexure ______. The report on the performance and financial position of each is set out therein.]</w:t>
      </w:r>
    </w:p>
    <w:p>
      <w:pPr>
        <w:keepNext/>
        <w:spacing w:after="120" w:before="280"/>
        <w:outlineLvl w:val="0"/>
      </w:pPr>
      <w:r>
        <w:rPr>
          <w:rFonts w:ascii="Calibri" w:cs="Calibri" w:eastAsia="Calibri" w:hAnsi="Calibri"/>
          <w:b/>
          <w:bCs/>
          <w:color w:val="14161B"/>
          <w:sz w:val="22"/>
          <w:szCs w:val="22"/>
        </w:rPr>
        <w:t xml:space="preserve">23. PARTICULARS OF EMPLOYEES AND MANAGERIAL REMUNERATION</w:t>
      </w:r>
    </w:p>
    <w:p>
      <w:pPr>
        <w:spacing w:after="160" w:before="0" w:line="276"/>
        <w:jc w:val="both"/>
      </w:pPr>
      <w:r>
        <w:rPr>
          <w:rFonts w:ascii="Calibri" w:cs="Calibri" w:eastAsia="Calibri" w:hAnsi="Calibri"/>
          <w:b/>
          <w:bCs/>
          <w:sz w:val="21"/>
          <w:szCs w:val="21"/>
        </w:rPr>
        <w:t xml:space="preserve">[The Company is not required to make the disclosures relating to the ratio of remuneration of each director to the median remuneration of employees and the other particulars prescribed, being applicable only to listed companies and to companies meeting the prescribed thresholds. / The particulars are annexed at Annexure ______.]</w:t>
      </w:r>
    </w:p>
    <w:p>
      <w:pPr>
        <w:keepNext/>
        <w:spacing w:after="120" w:before="280"/>
        <w:outlineLvl w:val="0"/>
      </w:pPr>
      <w:r>
        <w:rPr>
          <w:rFonts w:ascii="Calibri" w:cs="Calibri" w:eastAsia="Calibri" w:hAnsi="Calibri"/>
          <w:b/>
          <w:bCs/>
          <w:color w:val="14161B"/>
          <w:sz w:val="22"/>
          <w:szCs w:val="22"/>
        </w:rPr>
        <w:t xml:space="preserve">24. ACKNOWLEDGEMENTS</w:t>
      </w:r>
    </w:p>
    <w:p>
      <w:pPr>
        <w:spacing w:after="240" w:before="0" w:line="276"/>
        <w:jc w:val="both"/>
      </w:pPr>
      <w:r>
        <w:rPr>
          <w:rFonts w:ascii="Calibri" w:cs="Calibri" w:eastAsia="Calibri" w:hAnsi="Calibri"/>
          <w:sz w:val="21"/>
          <w:szCs w:val="21"/>
        </w:rPr>
        <w:t xml:space="preserve">Your Directors place on record their appreciation of the commitment and contribution of the employees of the Company, and thank the Company’s customers, suppliers, bankers, investors and other stakeholders for their continued support and confidence.</w:t>
      </w:r>
    </w:p>
    <w:p>
      <w:pPr>
        <w:spacing w:after="240" w:before="0" w:line="276"/>
        <w:jc w:val="both"/>
      </w:pPr>
      <w:r>
        <w:rPr>
          <w:rFonts w:ascii="Calibri" w:cs="Calibri" w:eastAsia="Calibri" w:hAnsi="Calibri"/>
          <w:b/>
          <w:bCs/>
          <w:sz w:val="21"/>
          <w:szCs w:val="21"/>
        </w:rPr>
        <w:t xml:space="preserve">For and on behalf of the Board of Directors of </w:t>
      </w:r>
      <w:r>
        <w:rPr>
          <w:rFonts w:ascii="Calibri" w:cs="Calibri" w:eastAsia="Calibri" w:hAnsi="Calibri"/>
          <w:b/>
          <w:bCs/>
          <w:sz w:val="21"/>
          <w:szCs w:val="21"/>
        </w:rPr>
        <w:t xml:space="preserve">[COMPANY NAME]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[Chairperson / Director]</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p>
            <w:pPr>
              <w:spacing w:after="90" w:line="264"/>
            </w:pPr>
          </w:p>
          <w:p>
            <w:pPr>
              <w:spacing w:after="90" w:line="264"/>
            </w:pPr>
            <w:r>
              <w:rPr>
                <w:rFonts w:ascii="Calibri" w:cs="Calibri" w:eastAsia="Calibri" w:hAnsi="Calibri"/>
                <w:sz w:val="21"/>
                <w:szCs w:val="21"/>
              </w:rPr>
              <w:t xml:space="preserve">Place: </w:t>
            </w:r>
            <w:r>
              <w:rPr>
                <w:rFonts w:ascii="Calibri" w:cs="Calibri" w:eastAsia="Calibri" w:hAnsi="Calibri"/>
                <w:b/>
                <w:bCs/>
                <w:sz w:val="21"/>
                <w:szCs w:val="21"/>
              </w:rPr>
              <w:t xml:space="preserve">[PLACE]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[Director]</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p>
            <w:pPr>
              <w:spacing w:after="90" w:line="264"/>
            </w:pPr>
          </w:p>
          <w:p>
            <w:pPr>
              <w:spacing w:after="90" w:line="264"/>
            </w:pP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DISCLOSURE CHECKLIST</w:t>
      </w:r>
    </w:p>
    <w:p>
      <w:pPr>
        <w:spacing w:after="260"/>
        <w:jc w:val="center"/>
      </w:pPr>
      <w:r>
        <w:rPr>
          <w:rFonts w:ascii="Calibri" w:cs="Calibri" w:eastAsia="Calibri" w:hAnsi="Calibri"/>
          <w:i/>
          <w:iCs/>
          <w:color w:val="6E7480"/>
          <w:sz w:val="19"/>
          <w:szCs w:val="19"/>
        </w:rPr>
        <w:t xml:space="preserve">Work through this before signing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529"/>
        <w:gridCol w:w="963"/>
        <w:gridCol w:w="1349"/>
        <w:gridCol w:w="2316"/>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452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Disclosure</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Applies</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Included at</w:t>
            </w:r>
          </w:p>
        </w:tc>
        <w:tc>
          <w:tcPr>
            <w:tcW w:type="dxa" w:w="231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 if not applicable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Financial summary and state of the Company’s affairs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1</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Dividend recommended, and transfer to reserves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2</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 in the nature of business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3</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 capital, and issue of sweat equity, differential rights or employee stock options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4</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Deposits, including amounts not treated as deposits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5</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Directors and key managerial personnel, and changes during the year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6</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Declaration of independence by independent directors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6</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Number of Board meetings and attendance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7</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Committees of the Board and their composition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7</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Directors’ responsibility statement</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Always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8</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Auditors, auditors’ report and the Board’s response to qualifications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9</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Reporting of fraud by the auditors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9</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Secretarial audit report and the Board’s response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9</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Cost records and cost audit</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9</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15</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 return — web link or filing particulars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10</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16</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Loans, guarantees, security and investments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11</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17</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Related party transactions, and the policy</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12</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18</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Material changes between the year end and the date of the report</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13</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19</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Conservation of energy, technology absorption, foreign exchange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14</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20</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Risk management policy and principal risks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15</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21</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Internal financial controls and their adequacy</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16</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22</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Corporate social responsibility, committee, policy and annual report</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17</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23</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Vigil mechanism or whistleblower policy</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18</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24</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Prevention of sexual harassment — complaints received, disposed and pending</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Always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19</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25</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Maternity benefit compliance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Always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20</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26</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Significant regulatory orders, insolvency proceedings, one-time settlements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21</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27</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Subsidiaries, associates and joint ventures, and the statement of their financials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22</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28</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Particulars of employees and managerial remuneration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Section 23</w:t>
            </w:r>
          </w:p>
        </w:tc>
        <w:tc>
          <w:tcPr>
            <w:tcW w:type="dxa" w:w="2316"/>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29</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Signed by the Chairperson, or by two directors where there is no Chairperson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Always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Signature block</w:t>
            </w:r>
          </w:p>
        </w:tc>
        <w:tc>
          <w:tcPr>
            <w:tcW w:type="dxa" w:w="2316"/>
            <w:tcMar>
              <w:top w:type="dxa" w:w="70"/>
              <w:left w:type="dxa" w:w="100"/>
              <w:bottom w:type="dxa" w:w="70"/>
              <w:right w:type="dxa" w:w="100"/>
            </w:tcMar>
            <w:vAlign w:val="center"/>
          </w:tcPr>
          <w:p>
            <w:pPr>
              <w:spacing w:after="0" w:line="240"/>
              <w:jc w:val="left"/>
            </w:pP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This is a public document that outlives everyone who wrote it</w:t>
      </w:r>
    </w:p>
    <w:p>
      <w:pPr>
        <w:spacing w:after="60" w:line="264"/>
        <w:jc w:val="both"/>
      </w:pPr>
      <w:r>
        <w:rPr>
          <w:rFonts w:ascii="Calibri" w:cs="Calibri" w:eastAsia="Calibri" w:hAnsi="Calibri"/>
          <w:sz w:val="19"/>
          <w:szCs w:val="19"/>
        </w:rPr>
        <w:t xml:space="preserve">The Board’s report is filed with the financial statements and remains on the public record permanently. Lenders, acquirers and regulators read it years later, and inconsistencies between successive years’ reports — a related party transaction disclosed one year and not the next, a risk described and then silently dropped — are noticed. Write it as a document intended to be read, not as a form to be filled.</w:t>
      </w:r>
    </w:p>
    <w:p>
      <w:pPr>
        <w:keepNext/>
        <w:spacing w:after="40" w:before="140"/>
      </w:pPr>
      <w:r>
        <w:rPr>
          <w:rFonts w:ascii="Calibri" w:cs="Calibri" w:eastAsia="Calibri" w:hAnsi="Calibri"/>
          <w:b/>
          <w:bCs/>
          <w:color w:val="14161B"/>
          <w:sz w:val="20"/>
          <w:szCs w:val="20"/>
        </w:rPr>
        <w:t xml:space="preserve">The disclosure list is cumulative and comes from several places</w:t>
      </w:r>
    </w:p>
    <w:p>
      <w:pPr>
        <w:spacing w:after="60" w:line="264"/>
        <w:jc w:val="both"/>
      </w:pPr>
      <w:r>
        <w:rPr>
          <w:rFonts w:ascii="Calibri" w:cs="Calibri" w:eastAsia="Calibri" w:hAnsi="Calibri"/>
          <w:sz w:val="19"/>
          <w:szCs w:val="19"/>
        </w:rPr>
        <w:t xml:space="preserve">The Act sets out the core list, the rules add to it, and separate legislation adds further items, including the disclosure on the prevention of sexual harassment and the confirmation of maternity benefit compliance. There is no single provision containing all of them, which is why items are missed. Work down the checklist and record the basis for every item marked not applicable.</w:t>
      </w:r>
    </w:p>
    <w:p>
      <w:pPr>
        <w:keepNext/>
        <w:spacing w:after="40" w:before="140"/>
      </w:pPr>
      <w:r>
        <w:rPr>
          <w:rFonts w:ascii="Calibri" w:cs="Calibri" w:eastAsia="Calibri" w:hAnsi="Calibri"/>
          <w:b/>
          <w:bCs/>
          <w:color w:val="14161B"/>
          <w:sz w:val="20"/>
          <w:szCs w:val="20"/>
        </w:rPr>
        <w:t xml:space="preserve">Delete what does not apply</w:t>
      </w:r>
    </w:p>
    <w:p>
      <w:pPr>
        <w:spacing w:after="60" w:line="264"/>
        <w:jc w:val="both"/>
      </w:pPr>
      <w:r>
        <w:rPr>
          <w:rFonts w:ascii="Calibri" w:cs="Calibri" w:eastAsia="Calibri" w:hAnsi="Calibri"/>
          <w:sz w:val="19"/>
          <w:szCs w:val="19"/>
        </w:rPr>
        <w:t xml:space="preserve">A report in which two thirds of the headings say "not applicable" is harder to read and makes it easier for a genuinely applicable item to be missed. Delete the headings that do not apply and record the basis in the checklist, which is kept internally, rather than on the face of the report. Keep the headings the Act requires in every case.</w:t>
      </w:r>
    </w:p>
    <w:p>
      <w:pPr>
        <w:keepNext/>
        <w:spacing w:after="40" w:before="140"/>
      </w:pPr>
      <w:r>
        <w:rPr>
          <w:rFonts w:ascii="Calibri" w:cs="Calibri" w:eastAsia="Calibri" w:hAnsi="Calibri"/>
          <w:b/>
          <w:bCs/>
          <w:color w:val="14161B"/>
          <w:sz w:val="20"/>
          <w:szCs w:val="20"/>
        </w:rPr>
        <w:t xml:space="preserve">The responsibility statement is not boilerplate</w:t>
      </w:r>
    </w:p>
    <w:p>
      <w:pPr>
        <w:spacing w:after="60" w:line="264"/>
        <w:jc w:val="both"/>
      </w:pPr>
      <w:r>
        <w:rPr>
          <w:rFonts w:ascii="Calibri" w:cs="Calibri" w:eastAsia="Calibri" w:hAnsi="Calibri"/>
          <w:sz w:val="19"/>
          <w:szCs w:val="19"/>
        </w:rPr>
        <w:t xml:space="preserve">It is a positive statement by the directors on accounting standards, accounting policies, accounting records, going concern, and systems for compliance with all applicable laws. Directors sign it personally. Before signing, satisfy yourself that the compliance systems referred to actually exist — that limb is the one directors most often sign without considering.</w:t>
      </w:r>
    </w:p>
    <w:p>
      <w:pPr>
        <w:keepNext/>
        <w:spacing w:after="40" w:before="140"/>
      </w:pPr>
      <w:r>
        <w:rPr>
          <w:rFonts w:ascii="Calibri" w:cs="Calibri" w:eastAsia="Calibri" w:hAnsi="Calibri"/>
          <w:b/>
          <w:bCs/>
          <w:color w:val="14161B"/>
          <w:sz w:val="20"/>
          <w:szCs w:val="20"/>
        </w:rPr>
        <w:t xml:space="preserve">Abridged report for smaller companies</w:t>
      </w:r>
    </w:p>
    <w:p>
      <w:pPr>
        <w:spacing w:after="60" w:line="264"/>
        <w:jc w:val="both"/>
      </w:pPr>
      <w:r>
        <w:rPr>
          <w:rFonts w:ascii="Calibri" w:cs="Calibri" w:eastAsia="Calibri" w:hAnsi="Calibri"/>
          <w:sz w:val="19"/>
          <w:szCs w:val="19"/>
        </w:rPr>
        <w:t xml:space="preserve">A shorter form of the Board’s report is available to certain classes of company, including small companies and one-person companies. Where the abridged form applies, it should be used deliberately rather than by omission, and the report should still cover the items that legislation outside the Act requires. Confirm eligibility before relying on it.</w:t>
      </w:r>
    </w:p>
    <w:p>
      <w:pPr>
        <w:keepNext/>
        <w:spacing w:after="40" w:before="140"/>
      </w:pPr>
      <w:r>
        <w:rPr>
          <w:rFonts w:ascii="Calibri" w:cs="Calibri" w:eastAsia="Calibri" w:hAnsi="Calibri"/>
          <w:b/>
          <w:bCs/>
          <w:color w:val="14161B"/>
          <w:sz w:val="20"/>
          <w:szCs w:val="20"/>
        </w:rPr>
        <w:t xml:space="preserve">Respond to every audit qualification</w:t>
      </w:r>
    </w:p>
    <w:p>
      <w:pPr>
        <w:spacing w:after="60" w:line="264"/>
        <w:jc w:val="both"/>
      </w:pPr>
      <w:r>
        <w:rPr>
          <w:rFonts w:ascii="Calibri" w:cs="Calibri" w:eastAsia="Calibri" w:hAnsi="Calibri"/>
          <w:sz w:val="19"/>
          <w:szCs w:val="19"/>
        </w:rPr>
        <w:t xml:space="preserve">Where the auditors’ report contains a qualification, reservation, adverse remark or disclaimer, the Board must give its explanation or comment in the report. The same applies to observations in a secretarial audit report. A qualification acknowledged but not answered is worse than one answered badly.</w:t>
      </w:r>
    </w:p>
    <w:p>
      <w:pPr>
        <w:keepNext/>
        <w:spacing w:after="40" w:before="140"/>
      </w:pPr>
      <w:r>
        <w:rPr>
          <w:rFonts w:ascii="Calibri" w:cs="Calibri" w:eastAsia="Calibri" w:hAnsi="Calibri"/>
          <w:b/>
          <w:bCs/>
          <w:color w:val="14161B"/>
          <w:sz w:val="20"/>
          <w:szCs w:val="20"/>
        </w:rPr>
        <w:t xml:space="preserve">Related party disclosure must match the register</w:t>
      </w:r>
    </w:p>
    <w:p>
      <w:pPr>
        <w:spacing w:after="60" w:line="264"/>
        <w:jc w:val="both"/>
      </w:pPr>
      <w:r>
        <w:rPr>
          <w:rFonts w:ascii="Calibri" w:cs="Calibri" w:eastAsia="Calibri" w:hAnsi="Calibri"/>
          <w:sz w:val="19"/>
          <w:szCs w:val="19"/>
        </w:rPr>
        <w:t xml:space="preserve">The statement in the report that all related party transactions were in the ordinary course and at arm’s length should be capable of being supported by the register of contracts and by the Board minutes approving each transaction. Where a transaction was approved as not being at arm’s length, it must be disclosed in the prescribed form with a justification. The report and the register should never disagree.</w:t>
      </w:r>
    </w:p>
    <w:p>
      <w:pPr>
        <w:keepNext/>
        <w:spacing w:after="40" w:before="140"/>
      </w:pPr>
      <w:r>
        <w:rPr>
          <w:rFonts w:ascii="Calibri" w:cs="Calibri" w:eastAsia="Calibri" w:hAnsi="Calibri"/>
          <w:b/>
          <w:bCs/>
          <w:color w:val="14161B"/>
          <w:sz w:val="20"/>
          <w:szCs w:val="20"/>
        </w:rPr>
        <w:t xml:space="preserve">The sexual harassment disclosure is required regardless of the numbers</w:t>
      </w:r>
    </w:p>
    <w:p>
      <w:pPr>
        <w:spacing w:after="60" w:line="264"/>
        <w:jc w:val="both"/>
      </w:pPr>
      <w:r>
        <w:rPr>
          <w:rFonts w:ascii="Calibri" w:cs="Calibri" w:eastAsia="Calibri" w:hAnsi="Calibri"/>
          <w:sz w:val="19"/>
          <w:szCs w:val="19"/>
        </w:rPr>
        <w:t xml:space="preserve">The disclosure must be made even where no complaint was received; stating "nil" is the disclosure. Omitting the heading entirely is the defect. The numbers should come from the internal committee’s records, which is why the committee report should be a standing item at Board meetings during the year.</w:t>
      </w:r>
    </w:p>
    <w:p>
      <w:pPr>
        <w:keepNext/>
        <w:spacing w:after="40" w:before="140"/>
      </w:pPr>
      <w:r>
        <w:rPr>
          <w:rFonts w:ascii="Calibri" w:cs="Calibri" w:eastAsia="Calibri" w:hAnsi="Calibri"/>
          <w:b/>
          <w:bCs/>
          <w:color w:val="14161B"/>
          <w:sz w:val="20"/>
          <w:szCs w:val="20"/>
        </w:rPr>
        <w:t xml:space="preserve">Corporate social responsibility applicability is tested annually</w:t>
      </w:r>
    </w:p>
    <w:p>
      <w:pPr>
        <w:spacing w:after="60" w:line="264"/>
        <w:jc w:val="both"/>
      </w:pPr>
      <w:r>
        <w:rPr>
          <w:rFonts w:ascii="Calibri" w:cs="Calibri" w:eastAsia="Calibri" w:hAnsi="Calibri"/>
          <w:sz w:val="19"/>
          <w:szCs w:val="19"/>
        </w:rPr>
        <w:t xml:space="preserve">Applicability depends on the net worth, turnover or net profit in the immediately preceding financial year, so a company can fall within the requirement for one year and outside it the next. Test it each year against the current year’s figures rather than assuming last year’s conclusion still holds, and where the requirement applies for the first time, the committee, the policy and the spend all need to be in place.</w:t>
      </w:r>
    </w:p>
    <w:p>
      <w:pPr>
        <w:keepNext/>
        <w:spacing w:after="40" w:before="140"/>
      </w:pPr>
      <w:r>
        <w:rPr>
          <w:rFonts w:ascii="Calibri" w:cs="Calibri" w:eastAsia="Calibri" w:hAnsi="Calibri"/>
          <w:b/>
          <w:bCs/>
          <w:color w:val="14161B"/>
          <w:sz w:val="20"/>
          <w:szCs w:val="20"/>
        </w:rPr>
        <w:t xml:space="preserve">Material changes after the year end</w:t>
      </w:r>
    </w:p>
    <w:p>
      <w:pPr>
        <w:spacing w:after="60" w:line="264"/>
        <w:jc w:val="both"/>
      </w:pPr>
      <w:r>
        <w:rPr>
          <w:rFonts w:ascii="Calibri" w:cs="Calibri" w:eastAsia="Calibri" w:hAnsi="Calibri"/>
          <w:sz w:val="19"/>
          <w:szCs w:val="19"/>
        </w:rPr>
        <w:t xml:space="preserve">This section is where a funding round, a major contract, a litigation, a data breach or a change of control occurring between the year end and the signing date is disclosed. It is frequently left as "none" without anyone checking. Ask the question at the meeting at which the report is approved.</w:t>
      </w:r>
    </w:p>
    <w:p>
      <w:pPr>
        <w:keepNext/>
        <w:spacing w:after="40" w:before="140"/>
      </w:pPr>
      <w:r>
        <w:rPr>
          <w:rFonts w:ascii="Calibri" w:cs="Calibri" w:eastAsia="Calibri" w:hAnsi="Calibri"/>
          <w:b/>
          <w:bCs/>
          <w:color w:val="14161B"/>
          <w:sz w:val="20"/>
          <w:szCs w:val="20"/>
        </w:rPr>
        <w:t xml:space="preserve">Signing</w:t>
      </w:r>
    </w:p>
    <w:p>
      <w:pPr>
        <w:spacing w:after="60" w:line="264"/>
        <w:jc w:val="both"/>
      </w:pPr>
      <w:r>
        <w:rPr>
          <w:rFonts w:ascii="Calibri" w:cs="Calibri" w:eastAsia="Calibri" w:hAnsi="Calibri"/>
          <w:sz w:val="19"/>
          <w:szCs w:val="19"/>
        </w:rPr>
        <w:t xml:space="preserve">The report and its annexures must be signed by the chairperson if authorised by the Board, and otherwise by at least two directors, one of whom must be a managing director where there is one. Sign the annexures as well as the report; unsigned annexures are a routine filing rejection.</w:t>
      </w:r>
    </w:p>
    <w:p>
      <w:pPr>
        <w:keepNext/>
        <w:spacing w:after="40" w:before="140"/>
      </w:pPr>
      <w:r>
        <w:rPr>
          <w:rFonts w:ascii="Calibri" w:cs="Calibri" w:eastAsia="Calibri" w:hAnsi="Calibri"/>
          <w:b/>
          <w:bCs/>
          <w:color w:val="14161B"/>
          <w:sz w:val="20"/>
          <w:szCs w:val="20"/>
        </w:rPr>
        <w:t xml:space="preserve">Approve it at a Board meeting</w:t>
      </w:r>
    </w:p>
    <w:p>
      <w:pPr>
        <w:spacing w:after="60" w:line="264"/>
        <w:jc w:val="both"/>
      </w:pPr>
      <w:r>
        <w:rPr>
          <w:rFonts w:ascii="Calibri" w:cs="Calibri" w:eastAsia="Calibri" w:hAnsi="Calibri"/>
          <w:sz w:val="19"/>
          <w:szCs w:val="19"/>
        </w:rPr>
        <w:t xml:space="preserve">The report must be approved by the Board at a meeting, not by circulation, and the minutes should record the approval and the fact that the directors considered the disclosures. Approve the financial statements and the report at the same meeting, and record the date, because the report speaks as at the date of signing for the purposes of the material changes disclosure.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Disclosure requirements are added to frequently, including by legislation outside the Companies Act — have the report reviewed against a current checklist by a company secretary before it is approved.</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2026-08-21T12:53:54.013Z</dcterms:created>
  <dcterms:modified xsi:type="dcterms:W3CDTF">2026-08-21T12:53:54.013Z</dcterms:modified>
</cp:coreProperties>
</file>

<file path=docProps/custom.xml><?xml version="1.0" encoding="utf-8"?>
<Properties xmlns="http://schemas.openxmlformats.org/officeDocument/2006/custom-properties" xmlns:vt="http://schemas.openxmlformats.org/officeDocument/2006/docPropsVTypes"/>
</file>