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DELIVERY CHALLAN</w:t>
      </w:r>
    </w:p>
    <w:p>
      <w:pPr>
        <w:spacing w:after="260"/>
        <w:jc w:val="center"/>
      </w:pPr>
      <w:r>
        <w:rPr>
          <w:rFonts w:ascii="Calibri" w:cs="Calibri" w:eastAsia="Calibri" w:hAnsi="Calibri"/>
          <w:i/>
          <w:iCs/>
          <w:color w:val="6E7480"/>
          <w:sz w:val="19"/>
          <w:szCs w:val="19"/>
        </w:rPr>
        <w:t xml:space="preserve">For movement of goods otherwise than by way of supply</w:t>
      </w:r>
    </w:p>
    <w:p>
      <w:pPr>
        <w:spacing w:after="180" w:before="0" w:line="276"/>
        <w:jc w:val="both"/>
      </w:pPr>
      <w:r>
        <w:rPr>
          <w:rFonts w:ascii="Calibri" w:cs="Calibri" w:eastAsia="Calibri" w:hAnsi="Calibri"/>
          <w:i/>
          <w:iCs/>
          <w:color w:val="6E7480"/>
          <w:sz w:val="21"/>
          <w:szCs w:val="21"/>
        </w:rPr>
        <w:t xml:space="preserve">A delivery challan accompanies goods that are moving without a supply taking place — job work, approval, exhibition, transfer between the supplier’s own places of business, or supply of liquid gas where the quantity is unknown at removal. It is not an invoice and does not carry tax. Where the movement crosses the value threshold, an e-way bill is required as well.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Consignor</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GSTIN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[GSTIN]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dispatch</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 and code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w:t>
            </w:r>
            <w:r>
              <w:rPr>
                <w:rFonts w:ascii="Calibri" w:cs="Calibri" w:eastAsia="Calibri" w:hAnsi="Calibri"/>
                <w:b/>
                <w:bCs/>
                <w:sz w:val="19"/>
                <w:szCs w:val="19"/>
              </w:rPr>
              <w:t xml:space="preserve"> — </w:t>
            </w:r>
            <w:r>
              <w:rPr>
                <w:rFonts w:ascii="Calibri" w:cs="Calibri" w:eastAsia="Calibri" w:hAnsi="Calibri"/>
                <w:b/>
                <w:bCs/>
                <w:sz w:val="19"/>
                <w:szCs w:val="19"/>
              </w:rPr>
              <w:t xml:space="preserve">[CODE]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r>
              <w:rPr>
                <w:rFonts w:ascii="Calibri" w:cs="Calibri" w:eastAsia="Calibri" w:hAnsi="Calibri"/>
                <w:sz w:val="19"/>
                <w:szCs w:val="19"/>
              </w:rPr>
              <w:t xml:space="preserve"> / </w:t>
            </w:r>
            <w:r>
              <w:rPr>
                <w:rFonts w:ascii="Calibri" w:cs="Calibri" w:eastAsia="Calibri" w:hAnsi="Calibri"/>
                <w:b/>
                <w:bCs/>
                <w:sz w:val="19"/>
                <w:szCs w:val="19"/>
              </w:rPr>
              <w:t xml:space="preserve">[EMAIL]</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Challan</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Challan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[SERIAL]</w:t>
            </w:r>
            <w:r>
              <w:rPr>
                <w:rFonts w:ascii="Calibri" w:cs="Calibri" w:eastAsia="Calibri" w:hAnsi="Calibri"/>
                <w:sz w:val="19"/>
                <w:szCs w:val="19"/>
              </w:rPr>
              <w:t xml:space="preserve"> </w:t>
            </w:r>
            <w:r>
              <w:rPr>
                <w:rFonts w:ascii="Calibri" w:cs="Calibri" w:eastAsia="Calibri" w:hAnsi="Calibri"/>
                <w:i/>
                <w:iCs/>
                <w:sz w:val="19"/>
                <w:szCs w:val="19"/>
              </w:rPr>
              <w:t xml:space="preserve">(consecutive, unique for the financial year)</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and time of issue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 of movement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work / Sending on approval / Exhibition or fair / Transfer to another place of business of the same person / Supply of liquid gas where quantity is unknown at removal / Other — specify]</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Expected date of return, where the goods are to return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E-way bill number, where required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generated on </w:t>
            </w:r>
            <w:r>
              <w:rPr>
                <w:rFonts w:ascii="Calibri" w:cs="Calibri" w:eastAsia="Calibri" w:hAnsi="Calibri"/>
                <w:b/>
                <w:bCs/>
                <w:sz w:val="19"/>
                <w:szCs w:val="19"/>
              </w:rPr>
              <w:t xml:space="preserve">[DATE]</w:t>
            </w:r>
            <w:r>
              <w:rPr>
                <w:rFonts w:ascii="Calibri" w:cs="Calibri" w:eastAsia="Calibri" w:hAnsi="Calibri"/>
                <w:sz w:val="19"/>
                <w:szCs w:val="19"/>
              </w:rPr>
              <w:t xml:space="preserve">, valid until </w:t>
            </w:r>
            <w:r>
              <w:rPr>
                <w:rFonts w:ascii="Calibri" w:cs="Calibri" w:eastAsia="Calibri" w:hAnsi="Calibri"/>
                <w:b/>
                <w:bCs/>
                <w:sz w:val="19"/>
                <w:szCs w:val="19"/>
              </w:rPr>
              <w:t xml:space="preserve">[DATE]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Related tax invoice, where one is to follow</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 AND DATE]</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2891"/>
        <w:gridCol w:w="2120"/>
        <w:gridCol w:w="2893"/>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Consignee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Place of delivery</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Address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ADDRESS]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GSTIN, where registered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[GSTIN]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State and code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[STATE]</w:t>
            </w:r>
            <w:r>
              <w:rPr>
                <w:rFonts w:ascii="Calibri" w:cs="Calibri" w:eastAsia="Calibri" w:hAnsi="Calibri"/>
                <w:b/>
                <w:bCs/>
                <w:sz w:val="18"/>
                <w:szCs w:val="18"/>
              </w:rPr>
              <w:t xml:space="preserve"> — </w:t>
            </w:r>
            <w:r>
              <w:rPr>
                <w:rFonts w:ascii="Calibri" w:cs="Calibri" w:eastAsia="Calibri" w:hAnsi="Calibri"/>
                <w:b/>
                <w:bCs/>
                <w:sz w:val="18"/>
                <w:szCs w:val="18"/>
              </w:rPr>
              <w:t xml:space="preserve">[CODE]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Address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Contact at delivery</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b/>
                <w:bCs/>
                <w:sz w:val="18"/>
                <w:szCs w:val="18"/>
              </w:rPr>
              <w:t xml:space="preserve"> / </w:t>
            </w:r>
            <w:r>
              <w:rPr>
                <w:rFonts w:ascii="Calibri" w:cs="Calibri" w:eastAsia="Calibri" w:hAnsi="Calibri"/>
                <w:b/>
                <w:bCs/>
                <w:sz w:val="18"/>
                <w:szCs w:val="18"/>
              </w:rPr>
              <w:t xml:space="preserve">[PHONE]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registered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worker registration, where applicable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[GSTIN]</w:t>
            </w:r>
          </w:p>
        </w:tc>
      </w:tr>
    </w:tbl>
    <w:p>
      <w:pPr>
        <w:spacing w:after="160"/>
      </w:pPr>
    </w:p>
    <w:p>
      <w:pPr>
        <w:keepNext/>
        <w:spacing w:after="120" w:before="280"/>
        <w:outlineLvl w:val="0"/>
      </w:pPr>
      <w:r>
        <w:rPr>
          <w:rFonts w:ascii="Calibri" w:cs="Calibri" w:eastAsia="Calibri" w:hAnsi="Calibri"/>
          <w:b/>
          <w:bCs/>
          <w:color w:val="14161B"/>
          <w:sz w:val="22"/>
          <w:szCs w:val="22"/>
        </w:rPr>
        <w:t xml:space="preserve">PARTICULARS OF GOODS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505"/>
        <w:gridCol w:w="963"/>
        <w:gridCol w:w="963"/>
        <w:gridCol w:w="674"/>
        <w:gridCol w:w="1349"/>
        <w:gridCol w:w="867"/>
        <w:gridCol w:w="1156"/>
        <w:gridCol w:w="776"/>
      </w:tblGrid>
      <w:tr>
        <w:trPr>
          <w:tblHeader/>
        </w:trPr>
        <w:tc>
          <w:tcPr>
            <w:tcW w:type="dxa" w:w="38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of goods</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HSN code</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Quantity</w:t>
            </w:r>
          </w:p>
        </w:tc>
        <w:tc>
          <w:tcPr>
            <w:tcW w:type="dxa" w:w="67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Unit</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Taxable value (₹)</w:t>
            </w:r>
          </w:p>
        </w:tc>
        <w:tc>
          <w:tcPr>
            <w:tcW w:type="dxa" w:w="86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Tax rate %</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Tax amount (₹)</w:t>
            </w:r>
          </w:p>
        </w:tc>
        <w:tc>
          <w:tcPr>
            <w:tcW w:type="dxa" w:w="7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[CODE]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86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[CODE]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86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385"/>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[CODE]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86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[REMARKS]</w:t>
            </w:r>
          </w:p>
        </w:tc>
      </w:tr>
      <w:tr>
        <w:tc>
          <w:tcPr>
            <w:tcW w:type="dxa" w:w="385"/>
            <w:tcMar>
              <w:top w:type="dxa" w:w="70"/>
              <w:left w:type="dxa" w:w="100"/>
              <w:bottom w:type="dxa" w:w="70"/>
              <w:right w:type="dxa" w:w="100"/>
            </w:tcMar>
            <w:vAlign w:val="center"/>
          </w:tcPr>
          <w:p>
            <w:pPr>
              <w:spacing w:after="0" w:line="240"/>
              <w:jc w:val="center"/>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963"/>
            <w:tcMar>
              <w:top w:type="dxa" w:w="70"/>
              <w:left w:type="dxa" w:w="100"/>
              <w:bottom w:type="dxa" w:w="70"/>
              <w:right w:type="dxa" w:w="100"/>
            </w:tcMar>
            <w:vAlign w:val="center"/>
          </w:tcPr>
          <w:p>
            <w:pPr>
              <w:spacing w:after="0" w:line="240"/>
              <w:jc w:val="left"/>
            </w:pP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[QTY]</w:t>
            </w:r>
          </w:p>
        </w:tc>
        <w:tc>
          <w:tcPr>
            <w:tcW w:type="dxa" w:w="674"/>
            <w:tcMar>
              <w:top w:type="dxa" w:w="70"/>
              <w:left w:type="dxa" w:w="100"/>
              <w:bottom w:type="dxa" w:w="70"/>
              <w:right w:type="dxa" w:w="100"/>
            </w:tcMar>
            <w:vAlign w:val="center"/>
          </w:tcPr>
          <w:p>
            <w:pPr>
              <w:spacing w:after="0" w:line="240"/>
              <w:jc w:val="center"/>
            </w:pP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867"/>
            <w:tcMar>
              <w:top w:type="dxa" w:w="70"/>
              <w:left w:type="dxa" w:w="100"/>
              <w:bottom w:type="dxa" w:w="70"/>
              <w:right w:type="dxa" w:w="100"/>
            </w:tcMar>
            <w:vAlign w:val="center"/>
          </w:tcPr>
          <w:p>
            <w:pPr>
              <w:spacing w:after="0" w:line="240"/>
              <w:jc w:val="right"/>
            </w:pP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776"/>
            <w:tcMar>
              <w:top w:type="dxa" w:w="70"/>
              <w:left w:type="dxa" w:w="100"/>
              <w:bottom w:type="dxa" w:w="70"/>
              <w:right w:type="dxa" w:w="100"/>
            </w:tcMar>
            <w:vAlign w:val="center"/>
          </w:tcPr>
          <w:p>
            <w:pPr>
              <w:spacing w:after="0" w:line="240"/>
              <w:jc w:val="left"/>
            </w:pPr>
          </w:p>
        </w:tc>
      </w:tr>
    </w:tbl>
    <w:p>
      <w:pPr>
        <w:spacing w:after="140"/>
      </w:pPr>
    </w:p>
    <w:p>
      <w:pPr>
        <w:spacing w:after="160" w:before="0" w:line="276"/>
        <w:jc w:val="both"/>
      </w:pPr>
      <w:r>
        <w:rPr>
          <w:rFonts w:ascii="Calibri" w:cs="Calibri" w:eastAsia="Calibri" w:hAnsi="Calibri"/>
          <w:i/>
          <w:iCs/>
          <w:sz w:val="21"/>
          <w:szCs w:val="21"/>
        </w:rPr>
        <w:t xml:space="preserve">The tax rate and amount are shown for the purpose of declaring the value of the consignment where required. </w:t>
      </w:r>
      <w:r>
        <w:rPr>
          <w:rFonts w:ascii="Calibri" w:cs="Calibri" w:eastAsia="Calibri" w:hAnsi="Calibri"/>
          <w:i/>
          <w:iCs/>
          <w:sz w:val="21"/>
          <w:szCs w:val="21"/>
        </w:rPr>
        <w:t xml:space="preserve">No tax is charged by this document</w:t>
      </w:r>
      <w:r>
        <w:rPr>
          <w:rFonts w:ascii="Calibri" w:cs="Calibri" w:eastAsia="Calibri" w:hAnsi="Calibri"/>
          <w:i/>
          <w:iCs/>
          <w:sz w:val="21"/>
          <w:szCs w:val="21"/>
        </w:rPr>
        <w:t xml:space="preserve">, and the consignee may not claim input tax credit against it. Where the movement is followed by a supply, a tax invoice will be issued.</w:t>
      </w:r>
    </w:p>
    <w:p>
      <w:pPr>
        <w:keepNext/>
        <w:spacing w:after="120" w:before="280"/>
        <w:outlineLvl w:val="0"/>
      </w:pPr>
      <w:r>
        <w:rPr>
          <w:rFonts w:ascii="Calibri" w:cs="Calibri" w:eastAsia="Calibri" w:hAnsi="Calibri"/>
          <w:b/>
          <w:bCs/>
          <w:color w:val="14161B"/>
          <w:sz w:val="22"/>
          <w:szCs w:val="22"/>
        </w:rPr>
        <w:t xml:space="preserve">TRANSPORT DETAILS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transport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[Road / Rail / Air / Ship]</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Transporter name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Transporter identification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Vehicle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Driver name and contact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[PHONE]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Lorry receipt or docket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Approximate distance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[KM]</w:t>
            </w:r>
            <w:r>
              <w:rPr>
                <w:rFonts w:ascii="Calibri" w:cs="Calibri" w:eastAsia="Calibri" w:hAnsi="Calibri"/>
                <w:sz w:val="19"/>
                <w:szCs w:val="19"/>
              </w:rPr>
              <w:t xml:space="preserve"> kilometres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and time of dispatch</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p>
        </w:tc>
      </w:tr>
    </w:tbl>
    <w:p>
      <w:pPr>
        <w:spacing w:after="180"/>
      </w:pPr>
    </w:p>
    <w:p>
      <w:pPr>
        <w:keepNext/>
        <w:spacing w:after="120" w:before="280"/>
        <w:outlineLvl w:val="0"/>
      </w:pPr>
      <w:r>
        <w:rPr>
          <w:rFonts w:ascii="Calibri" w:cs="Calibri" w:eastAsia="Calibri" w:hAnsi="Calibri"/>
          <w:b/>
          <w:bCs/>
          <w:color w:val="14161B"/>
          <w:sz w:val="22"/>
          <w:szCs w:val="22"/>
        </w:rPr>
        <w:t xml:space="preserve">COPIES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4240"/>
        <w:gridCol w:w="3471"/>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Copy</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Marked</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Original</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ORIGINAL FOR CONSIGNEE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consignee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Duplicate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DUPLICATE FOR TRANSPORTER</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transporter, to accompany the goods</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Triplicate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TRIPLICATE FOR CONSIGNOR</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Retained by the consignor</w:t>
            </w:r>
          </w:p>
        </w:tc>
      </w:tr>
    </w:tbl>
    <w:p>
      <w:pPr>
        <w:spacing w:after="180"/>
      </w:pPr>
    </w:p>
    <w:p>
      <w:pPr>
        <w:spacing w:after="200" w:before="0" w:line="276"/>
        <w:jc w:val="both"/>
      </w:pPr>
      <w:r>
        <w:rPr>
          <w:rFonts w:ascii="Calibri" w:cs="Calibri" w:eastAsia="Calibri" w:hAnsi="Calibri"/>
          <w:sz w:val="21"/>
          <w:szCs w:val="21"/>
        </w:rPr>
        <w:t xml:space="preserve">Certified that the particulars given above are true and correct, and that the movement of goods described is not by way of supply.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the goods described above in good condition</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and time: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[TIME]</w:t>
            </w:r>
          </w:p>
          <w:p>
            <w:pPr>
              <w:spacing w:after="90" w:line="264"/>
            </w:pPr>
          </w:p>
        </w:tc>
      </w:tr>
    </w:tbl>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WHEN A DELIVERY CHALLAN IS USED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313"/>
        <w:gridCol w:w="1542"/>
        <w:gridCol w:w="2892"/>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Situation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Document</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E-way bill</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sent to a job worker, and returned after processing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r>
              <w:rPr>
                <w:rFonts w:ascii="Calibri" w:cs="Calibri" w:eastAsia="Calibri" w:hAnsi="Calibri"/>
                <w:sz w:val="17"/>
                <w:szCs w:val="17"/>
              </w:rPr>
              <w:t xml:space="preserve"> each way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Track return within the period prescribed for the type of goods, or it is treated as a supply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sent on approval or on sale-or-return basis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tax invoice is issued when the recipient accepts, or on expiry of the period prescribed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sent to an exhibition or fair and returned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Issue a tax invoice for anything sold at the event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between two places of business of the same person in the same State, on the same registration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supply, so no tax invoice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between two registrations of the same person, in different States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Tax invoice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This is a supply between distinct persons and is taxable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Supply of liquid gas where the quantity is unknown at removal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applicable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Tax invoice follows once quantity is known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transported in semi-knocked-down or completely-knocked-down condition, in multiple consignments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r>
              <w:rPr>
                <w:rFonts w:ascii="Calibri" w:cs="Calibri" w:eastAsia="Calibri" w:hAnsi="Calibri"/>
                <w:sz w:val="17"/>
                <w:szCs w:val="17"/>
              </w:rPr>
              <w:t xml:space="preserve"> for each consignment, with the invoice accompanying the first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for each</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original invoice reference must appear on each challan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returned by a customer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r>
              <w:rPr>
                <w:rFonts w:ascii="Calibri" w:cs="Calibri" w:eastAsia="Calibri" w:hAnsi="Calibri"/>
                <w:sz w:val="17"/>
                <w:szCs w:val="17"/>
              </w:rPr>
              <w:t xml:space="preserve"> by the customer, and a credit note by the supplier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not treat a return as a fresh supply unless the customer is registered and issues an invoice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Goods sent for repair or testing and returned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Delivery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Value declared for transport purposes only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actual supply of goods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Tax invoice</w:t>
            </w:r>
            <w:r>
              <w:rPr>
                <w:rFonts w:ascii="Calibri" w:cs="Calibri" w:eastAsia="Calibri" w:hAnsi="Calibri"/>
                <w:sz w:val="17"/>
                <w:szCs w:val="17"/>
              </w:rPr>
              <w:t xml:space="preserve">, not a challan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above the threshold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challan is not a substitute for an invoice</w:t>
            </w:r>
          </w:p>
        </w:tc>
      </w:tr>
    </w:tbl>
    <w:p>
      <w:pPr>
        <w:spacing w:after="160"/>
      </w:pPr>
    </w:p>
    <w:p>
      <w:pPr>
        <w:spacing w:after="240" w:before="240"/>
        <w:jc w:val="center"/>
      </w:pPr>
      <w:r>
        <w:rPr>
          <w:rFonts w:ascii="Calibri" w:cs="Calibri" w:eastAsia="Calibri" w:hAnsi="Calibri"/>
          <w:b/>
          <w:bCs/>
          <w:color w:val="14161B"/>
          <w:spacing w:val="12"/>
          <w:sz w:val="28"/>
          <w:szCs w:val="28"/>
        </w:rPr>
        <w:t xml:space="preserve">ISSUANCE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movement is genuinely not a supply, tested against the table above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Challan number is consecutive and unique for the financial year, in a series separate from invoices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 of the movement stated on the face of the challan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Consignor and consignee particulars and GSTINs stated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HSN code, description, quantity and value stated for each item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supply stated where the movement is inter-State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Three copies prepared and marked, where the movement is of goods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E-way bill generated where the consignment value exceeds the threshold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E-way bill validity sufficient for the distance and route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Expected date of return recorded, where the goods are to return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Entry made in the job work register or the movement register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Return of goods tracked against the period prescribed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work details reported in the return required for the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challan is not an invoice and does not carry tax</w:t>
      </w:r>
    </w:p>
    <w:p>
      <w:pPr>
        <w:spacing w:after="60" w:line="264"/>
        <w:jc w:val="both"/>
      </w:pPr>
      <w:r>
        <w:rPr>
          <w:rFonts w:ascii="Calibri" w:cs="Calibri" w:eastAsia="Calibri" w:hAnsi="Calibri"/>
          <w:sz w:val="19"/>
          <w:szCs w:val="19"/>
        </w:rPr>
        <w:t xml:space="preserve">It accompanies goods that are moving without a supply. No tax is charged, and the consignee cannot claim credit against it. Where a supply does occur, a tax invoice must be issued in addition. Using a challan to move goods that are actually being supplied, in order to defer the invoice, is a common and easily detected practice.</w:t>
      </w:r>
    </w:p>
    <w:p>
      <w:pPr>
        <w:keepNext/>
        <w:spacing w:after="40" w:before="140"/>
      </w:pPr>
      <w:r>
        <w:rPr>
          <w:rFonts w:ascii="Calibri" w:cs="Calibri" w:eastAsia="Calibri" w:hAnsi="Calibri"/>
          <w:b/>
          <w:bCs/>
          <w:color w:val="14161B"/>
          <w:sz w:val="20"/>
          <w:szCs w:val="20"/>
        </w:rPr>
        <w:t xml:space="preserve">Job work goods must come back within the prescribed period</w:t>
      </w:r>
    </w:p>
    <w:p>
      <w:pPr>
        <w:spacing w:after="60" w:line="264"/>
        <w:jc w:val="both"/>
      </w:pPr>
      <w:r>
        <w:rPr>
          <w:rFonts w:ascii="Calibri" w:cs="Calibri" w:eastAsia="Calibri" w:hAnsi="Calibri"/>
          <w:sz w:val="19"/>
          <w:szCs w:val="19"/>
        </w:rPr>
        <w:t xml:space="preserve">Goods sent to a job worker must be returned, or supplied from the job worker’s premises, within the period prescribed for the type of goods — the period differs for inputs and for capital goods. Where they are not, the original movement is treated as a supply on the day it was sent, with tax and interest payable from that date. Item 12 of the checklist is the one that costs money if it is not tracked.</w:t>
      </w:r>
    </w:p>
    <w:p>
      <w:pPr>
        <w:keepNext/>
        <w:spacing w:after="40" w:before="140"/>
      </w:pPr>
      <w:r>
        <w:rPr>
          <w:rFonts w:ascii="Calibri" w:cs="Calibri" w:eastAsia="Calibri" w:hAnsi="Calibri"/>
          <w:b/>
          <w:bCs/>
          <w:color w:val="14161B"/>
          <w:sz w:val="20"/>
          <w:szCs w:val="20"/>
        </w:rPr>
        <w:t xml:space="preserve">Goods on approval have their own deadline</w:t>
      </w:r>
    </w:p>
    <w:p>
      <w:pPr>
        <w:spacing w:after="60" w:line="264"/>
        <w:jc w:val="both"/>
      </w:pPr>
      <w:r>
        <w:rPr>
          <w:rFonts w:ascii="Calibri" w:cs="Calibri" w:eastAsia="Calibri" w:hAnsi="Calibri"/>
          <w:sz w:val="19"/>
          <w:szCs w:val="19"/>
        </w:rPr>
        <w:t xml:space="preserve">Goods sent on approval must be invoiced when the recipient accepts them, or on the expiry of the period prescribed from removal, whichever is earlier. Stock sitting with a customer on approval past that period generates a tax liability whether or not anyone has decided to buy.</w:t>
      </w:r>
    </w:p>
    <w:p>
      <w:pPr>
        <w:keepNext/>
        <w:spacing w:after="40" w:before="140"/>
      </w:pPr>
      <w:r>
        <w:rPr>
          <w:rFonts w:ascii="Calibri" w:cs="Calibri" w:eastAsia="Calibri" w:hAnsi="Calibri"/>
          <w:b/>
          <w:bCs/>
          <w:color w:val="14161B"/>
          <w:sz w:val="20"/>
          <w:szCs w:val="20"/>
        </w:rPr>
        <w:t xml:space="preserve">Branch transfers across States are supplies</w:t>
      </w:r>
    </w:p>
    <w:p>
      <w:pPr>
        <w:spacing w:after="60" w:line="264"/>
        <w:jc w:val="both"/>
      </w:pPr>
      <w:r>
        <w:rPr>
          <w:rFonts w:ascii="Calibri" w:cs="Calibri" w:eastAsia="Calibri" w:hAnsi="Calibri"/>
          <w:sz w:val="19"/>
          <w:szCs w:val="19"/>
        </w:rPr>
        <w:t xml:space="preserve">A transfer between two places of business under the same registration is not a supply and moves on a challan. A transfer between two registrations of the same person, in different States, is a supply between distinct persons and requires a tax invoice with tax charged. This is the distinction most frequently got wrong by multi-State businesses.</w:t>
      </w:r>
    </w:p>
    <w:p>
      <w:pPr>
        <w:keepNext/>
        <w:spacing w:after="40" w:before="140"/>
      </w:pPr>
      <w:r>
        <w:rPr>
          <w:rFonts w:ascii="Calibri" w:cs="Calibri" w:eastAsia="Calibri" w:hAnsi="Calibri"/>
          <w:b/>
          <w:bCs/>
          <w:color w:val="14161B"/>
          <w:sz w:val="20"/>
          <w:szCs w:val="20"/>
        </w:rPr>
        <w:t xml:space="preserve">The e-way bill is a separate obligation</w:t>
      </w:r>
    </w:p>
    <w:p>
      <w:pPr>
        <w:spacing w:after="60" w:line="264"/>
        <w:jc w:val="both"/>
      </w:pPr>
      <w:r>
        <w:rPr>
          <w:rFonts w:ascii="Calibri" w:cs="Calibri" w:eastAsia="Calibri" w:hAnsi="Calibri"/>
          <w:sz w:val="19"/>
          <w:szCs w:val="19"/>
        </w:rPr>
        <w:t xml:space="preserve">Where the consignment value exceeds the applicable threshold, an e-way bill is required in addition to the challan. It has its own validity period keyed to distance, and goods moving on an expired e-way bill are liable to detention and penalty. Generate it before the vehicle leaves, and check that the validity covers the realistic transit time rather than the theoretical one.</w:t>
      </w:r>
    </w:p>
    <w:p>
      <w:pPr>
        <w:keepNext/>
        <w:spacing w:after="40" w:before="140"/>
      </w:pPr>
      <w:r>
        <w:rPr>
          <w:rFonts w:ascii="Calibri" w:cs="Calibri" w:eastAsia="Calibri" w:hAnsi="Calibri"/>
          <w:b/>
          <w:bCs/>
          <w:color w:val="14161B"/>
          <w:sz w:val="20"/>
          <w:szCs w:val="20"/>
        </w:rPr>
        <w:t xml:space="preserve">Threshold varies</w:t>
      </w:r>
    </w:p>
    <w:p>
      <w:pPr>
        <w:spacing w:after="60" w:line="264"/>
        <w:jc w:val="both"/>
      </w:pPr>
      <w:r>
        <w:rPr>
          <w:rFonts w:ascii="Calibri" w:cs="Calibri" w:eastAsia="Calibri" w:hAnsi="Calibri"/>
          <w:sz w:val="19"/>
          <w:szCs w:val="19"/>
        </w:rPr>
        <w:t xml:space="preserve">The value threshold above which an e-way bill is required, and the exemptions from it, differ for intra-State movement between States, and certain goods are exempt entirely. Confirm the threshold for the States of origin and destination rather than applying a single national figure.</w:t>
      </w:r>
    </w:p>
    <w:p>
      <w:pPr>
        <w:keepNext/>
        <w:spacing w:after="40" w:before="140"/>
      </w:pPr>
      <w:r>
        <w:rPr>
          <w:rFonts w:ascii="Calibri" w:cs="Calibri" w:eastAsia="Calibri" w:hAnsi="Calibri"/>
          <w:b/>
          <w:bCs/>
          <w:color w:val="14161B"/>
          <w:sz w:val="20"/>
          <w:szCs w:val="20"/>
        </w:rPr>
        <w:t xml:space="preserve">Three copies, marked</w:t>
      </w:r>
    </w:p>
    <w:p>
      <w:pPr>
        <w:spacing w:after="60" w:line="264"/>
        <w:jc w:val="both"/>
      </w:pPr>
      <w:r>
        <w:rPr>
          <w:rFonts w:ascii="Calibri" w:cs="Calibri" w:eastAsia="Calibri" w:hAnsi="Calibri"/>
          <w:sz w:val="19"/>
          <w:szCs w:val="19"/>
        </w:rPr>
        <w:t xml:space="preserve">Where the movement is of goods, three copies are prepared and marked for the consignee, the transporter and the consignor. The transporter’s copy must actually travel with the goods. A consignment stopped with no document in the vehicle is treated as unaccompanied regardless of what is on file at the office.</w:t>
      </w:r>
    </w:p>
    <w:p>
      <w:pPr>
        <w:keepNext/>
        <w:spacing w:after="40" w:before="140"/>
      </w:pPr>
      <w:r>
        <w:rPr>
          <w:rFonts w:ascii="Calibri" w:cs="Calibri" w:eastAsia="Calibri" w:hAnsi="Calibri"/>
          <w:b/>
          <w:bCs/>
          <w:color w:val="14161B"/>
          <w:sz w:val="20"/>
          <w:szCs w:val="20"/>
        </w:rPr>
        <w:t xml:space="preserve">Declare a value even though no tax is charged</w:t>
      </w:r>
    </w:p>
    <w:p>
      <w:pPr>
        <w:spacing w:after="60" w:line="264"/>
        <w:jc w:val="both"/>
      </w:pPr>
      <w:r>
        <w:rPr>
          <w:rFonts w:ascii="Calibri" w:cs="Calibri" w:eastAsia="Calibri" w:hAnsi="Calibri"/>
          <w:sz w:val="19"/>
          <w:szCs w:val="19"/>
        </w:rPr>
        <w:t xml:space="preserve">The challan states the value and, where required, the tax that would be applicable. This is for declaring the consignment value for transport and verification purposes, not a charge. Understating it to stay below the e-way bill threshold is a straightforward contravention.</w:t>
      </w:r>
    </w:p>
    <w:p>
      <w:pPr>
        <w:keepNext/>
        <w:spacing w:after="40" w:before="140"/>
      </w:pPr>
      <w:r>
        <w:rPr>
          <w:rFonts w:ascii="Calibri" w:cs="Calibri" w:eastAsia="Calibri" w:hAnsi="Calibri"/>
          <w:b/>
          <w:bCs/>
          <w:color w:val="14161B"/>
          <w:sz w:val="20"/>
          <w:szCs w:val="20"/>
        </w:rPr>
        <w:t xml:space="preserve">Knocked-down consignments</w:t>
      </w:r>
    </w:p>
    <w:p>
      <w:pPr>
        <w:spacing w:after="60" w:line="264"/>
        <w:jc w:val="both"/>
      </w:pPr>
      <w:r>
        <w:rPr>
          <w:rFonts w:ascii="Calibri" w:cs="Calibri" w:eastAsia="Calibri" w:hAnsi="Calibri"/>
          <w:sz w:val="19"/>
          <w:szCs w:val="19"/>
        </w:rPr>
        <w:t xml:space="preserve">Where goods move in multiple consignments in knocked-down condition, the invoice accompanies the first consignment and each subsequent consignment moves on a challan referencing the original invoice. Each consignment needs its own e-way bill.</w:t>
      </w:r>
    </w:p>
    <w:p>
      <w:pPr>
        <w:keepNext/>
        <w:spacing w:after="40" w:before="140"/>
      </w:pPr>
      <w:r>
        <w:rPr>
          <w:rFonts w:ascii="Calibri" w:cs="Calibri" w:eastAsia="Calibri" w:hAnsi="Calibri"/>
          <w:b/>
          <w:bCs/>
          <w:color w:val="14161B"/>
          <w:sz w:val="20"/>
          <w:szCs w:val="20"/>
        </w:rPr>
        <w:t xml:space="preserve">Keep a movement register</w:t>
      </w:r>
    </w:p>
    <w:p>
      <w:pPr>
        <w:spacing w:after="60" w:line="264"/>
        <w:jc w:val="both"/>
      </w:pPr>
      <w:r>
        <w:rPr>
          <w:rFonts w:ascii="Calibri" w:cs="Calibri" w:eastAsia="Calibri" w:hAnsi="Calibri"/>
          <w:sz w:val="19"/>
          <w:szCs w:val="19"/>
        </w:rPr>
        <w:t xml:space="preserve">A register recording every challan issued, the purpose, the expected return date and the actual return is what makes the job work and approval deadlines manageable. Without it, the deadlines are discovered only when a reconciliation or an audit surfaces them, by which time the liability has accrued with interest.</w:t>
      </w:r>
    </w:p>
    <w:p>
      <w:pPr>
        <w:keepNext/>
        <w:spacing w:after="40" w:before="140"/>
      </w:pPr>
      <w:r>
        <w:rPr>
          <w:rFonts w:ascii="Calibri" w:cs="Calibri" w:eastAsia="Calibri" w:hAnsi="Calibri"/>
          <w:b/>
          <w:bCs/>
          <w:color w:val="14161B"/>
          <w:sz w:val="20"/>
          <w:szCs w:val="20"/>
        </w:rPr>
        <w:t xml:space="preserve">Report job work where required</w:t>
      </w:r>
    </w:p>
    <w:p>
      <w:pPr>
        <w:spacing w:after="60" w:line="264"/>
        <w:jc w:val="both"/>
      </w:pPr>
      <w:r>
        <w:rPr>
          <w:rFonts w:ascii="Calibri" w:cs="Calibri" w:eastAsia="Calibri" w:hAnsi="Calibri"/>
          <w:sz w:val="19"/>
          <w:szCs w:val="19"/>
        </w:rPr>
        <w:t xml:space="preserve">Details of goods sent to and received from a job worker must be reported in the return prescribed for the purpose, within the period prescribed. Businesses that track the physical movement carefully but never file the return still have a compliance gap.</w:t>
      </w:r>
    </w:p>
    <w:p>
      <w:pPr>
        <w:keepNext/>
        <w:spacing w:after="40" w:before="140"/>
      </w:pPr>
      <w:r>
        <w:rPr>
          <w:rFonts w:ascii="Calibri" w:cs="Calibri" w:eastAsia="Calibri" w:hAnsi="Calibri"/>
          <w:b/>
          <w:bCs/>
          <w:color w:val="14161B"/>
          <w:sz w:val="20"/>
          <w:szCs w:val="20"/>
        </w:rPr>
        <w:t xml:space="preserve">Separate numbering series</w:t>
      </w:r>
    </w:p>
    <w:p>
      <w:pPr>
        <w:spacing w:after="60" w:line="264"/>
        <w:jc w:val="both"/>
      </w:pPr>
      <w:r>
        <w:rPr>
          <w:rFonts w:ascii="Calibri" w:cs="Calibri" w:eastAsia="Calibri" w:hAnsi="Calibri"/>
          <w:sz w:val="19"/>
          <w:szCs w:val="19"/>
        </w:rPr>
        <w:t xml:space="preserve">Challans should be numbered in a series separate from tax invoices and bills of supply, each consecutive and unique for the financial year.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E-way bill thresholds and validity, job work return periods, the approval period and reporting requirements all change, and several differ by State — have the process reviewed by a tax adviser and confirm the position for each State in which goods move.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2026-08-21T12:53:55.628Z</dcterms:created>
  <dcterms:modified xsi:type="dcterms:W3CDTF">2026-08-21T12:53:55.628Z</dcterms:modified>
</cp:coreProperties>
</file>

<file path=docProps/custom.xml><?xml version="1.0" encoding="utf-8"?>
<Properties xmlns="http://schemas.openxmlformats.org/officeDocument/2006/custom-properties" xmlns:vt="http://schemas.openxmlformats.org/officeDocument/2006/docPropsVTypes"/>
</file>