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CORPORATE SOCIAL RESPONSIBILITY POLICY</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Corporate social responsibility obligations are enforceable, with consequences for unspent amounts and specific disclosure requirements. Treat the policy as a compliance document with a governance trail, not as a statement of intent.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of Directors on </w:t>
            </w:r>
            <w:r>
              <w:rPr>
                <w:rFonts w:ascii="Calibri" w:cs="Calibri" w:eastAsia="Calibri" w:hAnsi="Calibri"/>
                <w:b/>
                <w:bCs/>
                <w:sz w:val="19"/>
                <w:szCs w:val="19"/>
              </w:rPr>
              <w:t xml:space="preserve">[DATE]</w:t>
            </w:r>
            <w:r>
              <w:rPr>
                <w:rFonts w:ascii="Calibri" w:cs="Calibri" w:eastAsia="Calibri" w:hAnsi="Calibri"/>
                <w:sz w:val="19"/>
                <w:szCs w:val="19"/>
              </w:rPr>
              <w:t xml:space="preserve">, on the recommendation of the CSR Committee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frequency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change in law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at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[WEBSITE LINK]</w:t>
            </w:r>
          </w:p>
        </w:tc>
      </w:tr>
    </w:tbl>
    <w:p>
      <w:pPr>
        <w:spacing w:after="200"/>
      </w:pPr>
    </w:p>
    <w:p>
      <w:pPr>
        <w:keepNext/>
        <w:spacing w:after="120" w:before="280"/>
        <w:outlineLvl w:val="0"/>
      </w:pPr>
      <w:r>
        <w:rPr>
          <w:rFonts w:ascii="Calibri" w:cs="Calibri" w:eastAsia="Calibri" w:hAnsi="Calibri"/>
          <w:b/>
          <w:bCs/>
          <w:color w:val="14161B"/>
          <w:sz w:val="22"/>
          <w:szCs w:val="22"/>
        </w:rPr>
        <w:t xml:space="preserve">1. APPLICABILITY</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corporate social responsibility provisions of the Companies Act, 2013 apply to a company which, during the immediately preceding financial year, had a net worth, turnover or net profit of not less than the amounts prescribed. Applicability is tested afresh each financial year against the figures for the immediately preceding financial year.</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applicability position of the Company is recorded in Annexure A and shall be reassessed at the first Board meeting of each financial year.</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the Company ceases to meet the thresholds for the period prescribed, the requirement to constitute a CSR Committee and to comply with the obligations under this policy shall cease, subject to the obligation to spend any amount already required to be spent and any amount lying unspent.</w:t>
      </w:r>
    </w:p>
    <w:p>
      <w:pPr>
        <w:keepNext/>
        <w:spacing w:after="120" w:before="280"/>
        <w:outlineLvl w:val="0"/>
      </w:pPr>
      <w:r>
        <w:rPr>
          <w:rFonts w:ascii="Calibri" w:cs="Calibri" w:eastAsia="Calibri" w:hAnsi="Calibri"/>
          <w:b/>
          <w:bCs/>
          <w:color w:val="14161B"/>
          <w:sz w:val="22"/>
          <w:szCs w:val="22"/>
        </w:rPr>
        <w:t xml:space="preserve">2. GOVERNANCE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b/>
          <w:bCs/>
          <w:sz w:val="21"/>
          <w:szCs w:val="21"/>
        </w:rPr>
        <w:t xml:space="preserve">CSR Committee.</w:t>
      </w:r>
      <w:r>
        <w:rPr>
          <w:rFonts w:ascii="Calibri" w:cs="Calibri" w:eastAsia="Calibri" w:hAnsi="Calibri"/>
          <w:sz w:val="21"/>
          <w:szCs w:val="21"/>
        </w:rPr>
        <w:t xml:space="preserve"> The Board has constituted a Corporate Social Responsibility Committee comprising the directors named in Annexure B. </w:t>
      </w:r>
      <w:r>
        <w:rPr>
          <w:rFonts w:ascii="Calibri" w:cs="Calibri" w:eastAsia="Calibri" w:hAnsi="Calibri"/>
          <w:b/>
          <w:bCs/>
          <w:sz w:val="21"/>
          <w:szCs w:val="21"/>
        </w:rPr>
        <w:t xml:space="preserve">[Where the amount required to be spent by the Company does not exceed the amount prescribed, the Company is not required to constitute a CSR Committee, and the functions of the Committee under this policy shall be discharged by the Board.]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Committee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formulate and recommend to the Board a CSR policy indicating the activities to be undertaken, and recommend any amendment to it;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recommend the amount of expenditure to be incurred on each activity;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formulate and recommend to the Board an annual action plan setting out the list of projects, the manner of execution, the modalities of utilisation of funds, the implementation schedule, the monitoring and reporting mechanism, and the details of any impact assessment;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monitor the CSR policy and the annual action plan from time to time, and recommend any alteration to the plan during the year, based on reasonable justification recorded in writing;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satisfy itself, and place before the Board a certification from the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 that the funds disbursed have been utilised for the purposes and in the manner approved.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Committee shall meet not less than </w:t>
      </w:r>
      <w:r>
        <w:rPr>
          <w:rFonts w:ascii="Calibri" w:cs="Calibri" w:eastAsia="Calibri" w:hAnsi="Calibri"/>
          <w:b/>
          <w:bCs/>
          <w:sz w:val="21"/>
          <w:szCs w:val="21"/>
        </w:rPr>
        <w:t xml:space="preserve">[twice]</w:t>
      </w:r>
      <w:r>
        <w:rPr>
          <w:rFonts w:ascii="Calibri" w:cs="Calibri" w:eastAsia="Calibri" w:hAnsi="Calibri"/>
          <w:sz w:val="21"/>
          <w:szCs w:val="21"/>
        </w:rPr>
        <w:t xml:space="preserve"> in each financial year, and the minutes of its meetings shall be maintained in a separate minute book and placed before the Board.</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Board responsibility.</w:t>
      </w:r>
      <w:r>
        <w:rPr>
          <w:rFonts w:ascii="Calibri" w:cs="Calibri" w:eastAsia="Calibri" w:hAnsi="Calibri"/>
          <w:sz w:val="21"/>
          <w:szCs w:val="21"/>
        </w:rPr>
        <w:t xml:space="preserve"> The Board shall approve the CSR policy and the annual action plan, disclose the contents of the policy in its report and on the Company’s website, ensure that the activities are undertaken as approved, and ensure that the amount required to be spent is in fact spent.</w:t>
      </w:r>
    </w:p>
    <w:p>
      <w:pPr>
        <w:keepNext/>
        <w:spacing w:after="120" w:before="280"/>
        <w:outlineLvl w:val="0"/>
      </w:pPr>
      <w:r>
        <w:rPr>
          <w:rFonts w:ascii="Calibri" w:cs="Calibri" w:eastAsia="Calibri" w:hAnsi="Calibri"/>
          <w:b/>
          <w:bCs/>
          <w:color w:val="14161B"/>
          <w:sz w:val="22"/>
          <w:szCs w:val="22"/>
        </w:rPr>
        <w:t xml:space="preserve">3. COMPUTATION OF THE AMOUNT TO BE SPENT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shall in each financial year spend not less than the prescribed percentage of the average net profits made during the </w:t>
      </w:r>
      <w:r>
        <w:rPr>
          <w:rFonts w:ascii="Calibri" w:cs="Calibri" w:eastAsia="Calibri" w:hAnsi="Calibri"/>
          <w:b/>
          <w:bCs/>
          <w:sz w:val="21"/>
          <w:szCs w:val="21"/>
        </w:rPr>
        <w:t xml:space="preserve">[three]</w:t>
      </w:r>
      <w:r>
        <w:rPr>
          <w:rFonts w:ascii="Calibri" w:cs="Calibri" w:eastAsia="Calibri" w:hAnsi="Calibri"/>
          <w:sz w:val="21"/>
          <w:szCs w:val="21"/>
        </w:rPr>
        <w:t xml:space="preserve"> immediately preceding financial years, computed in the manner prescribed under the Companies Act, 2013. Where the Company has not completed the period of three financial years since incorporation, the average shall be taken over the financial years since incorporation.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Net profit for this purpose is computed in accordance with the specific provision of the Act governing the computation of net profit for corporate social responsibility, and is not the profit shown in the statement of profit and loss. The computation shall be documented in the form set out in Annexure C and shall be reviewed by the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Any surplus arising out of CSR activities shall not form part of the business profit of the Company and shall be ploughed back into the same project, transferred to the Unspent CSR Account and spent in accordance with the annual action plan, or transferred to a fund specified for the purpose.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the Company spends an amount in excess of the requirement in a financial year, the excess may be set off against the requirement for the succeeding financial years, up to the number of years and subject to the conditions prescribed, provided the excess does not include any surplus arising from CSR activities and the set-off is approved by the Board.</w:t>
      </w:r>
    </w:p>
    <w:p>
      <w:pPr>
        <w:keepNext/>
        <w:spacing w:after="120" w:before="280"/>
        <w:outlineLvl w:val="0"/>
      </w:pPr>
      <w:r>
        <w:rPr>
          <w:rFonts w:ascii="Calibri" w:cs="Calibri" w:eastAsia="Calibri" w:hAnsi="Calibri"/>
          <w:b/>
          <w:bCs/>
          <w:color w:val="14161B"/>
          <w:sz w:val="22"/>
          <w:szCs w:val="22"/>
        </w:rPr>
        <w:t xml:space="preserve">4. PERMITTED ACTIVITIES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CSR expenditure shall be incurred only on activities falling within the list specified in Schedule VII to the Companies Act, 2013, which includes, among others: eradicating hunger, poverty and malnutrition; promoting health care including preventive health care and sanitation, and safe drinking water; promoting education, including special education and employment-enhancing vocational skills; promoting gender equality and empowering women; ensuring environmental sustainability and conservation of natural resources; protection of national heritage, art and culture; measures for the benefit of armed forces veterans and their dependants; training to promote rural, nationally recognised, Paralympic or Olympic sports; contribution to funds set up by the Central Government for socio-economic development and relief; contribution to incubators and to specified research and development organisations; rural development projects; and slum area development.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focus areas selected by the Company, and the geographies in which activities will be undertaken, are set out in Annexure D. The Company shall give preference to the local area and the areas around which it operates.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following do not qualify as CSR expenditure: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activities undertaken in the normal course of business of the Company, save to the extent expressly permitted;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activities undertaken outside India, save for training of Indian sports personnel representing a State, a Union territory or India;</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contribution of any amount, directly or indirectly, to any political party;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activities benefiting only the employees of the Company and their families;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sponsorship activities undertaken for deriving marketing benefit for the Company’s products or services;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activities carried out for the fulfilment of any statutory obligation under any other law in force in India;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any expenditure not incurred in pursuance of the annual action plan approved by the Board.</w:t>
      </w:r>
    </w:p>
    <w:p>
      <w:pPr>
        <w:keepNext/>
        <w:spacing w:after="120" w:before="280"/>
        <w:outlineLvl w:val="0"/>
      </w:pPr>
      <w:r>
        <w:rPr>
          <w:rFonts w:ascii="Calibri" w:cs="Calibri" w:eastAsia="Calibri" w:hAnsi="Calibri"/>
          <w:b/>
          <w:bCs/>
          <w:color w:val="14161B"/>
          <w:sz w:val="22"/>
          <w:szCs w:val="22"/>
        </w:rPr>
        <w:t xml:space="preserve">5. IMPLEMENTATION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CSR activities may be undertaken by the Company itself, or through an implementing agency being an entity of a category permitted by the rules, which is registered for the purpose with the Central Government and has obtained the prescribed registration number, and which has an established track record of the duration prescribed in undertaking similar activities.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Before disbursing any amount to an implementing agency, the Company shall obtain and retain a copy of its registration certificate and registration number, verify its eligibility, and enter into a written agreement recording the project, the amount, the schedule of disbursement, the utilisation reporting requirements, the right of the Company to inspect, and the obligation to return unutilised amounts.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Company may collaborate with other companies in undertaking a project, provided that each company is able to report separately on the project in accordance with the rules.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Funds shall be disbursed against milestones and against utilisation certificates, and not as a single advance at the start of a project, save where the Board records a reason for doing otherwise.</w:t>
      </w:r>
    </w:p>
    <w:p>
      <w:pPr>
        <w:keepNext/>
        <w:spacing w:after="120" w:before="280"/>
        <w:outlineLvl w:val="0"/>
      </w:pPr>
      <w:r>
        <w:rPr>
          <w:rFonts w:ascii="Calibri" w:cs="Calibri" w:eastAsia="Calibri" w:hAnsi="Calibri"/>
          <w:b/>
          <w:bCs/>
          <w:color w:val="14161B"/>
          <w:sz w:val="22"/>
          <w:szCs w:val="22"/>
        </w:rPr>
        <w:t xml:space="preserve">6. ONGOING PROJECTS AND UNSPENT AMOUNTS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t>
      </w:r>
      <w:r>
        <w:rPr>
          <w:rFonts w:ascii="Calibri" w:cs="Calibri" w:eastAsia="Calibri" w:hAnsi="Calibri"/>
          <w:b/>
          <w:bCs/>
          <w:sz w:val="21"/>
          <w:szCs w:val="21"/>
        </w:rPr>
        <w:t xml:space="preserve">Ongoing project</w:t>
      </w:r>
      <w:r>
        <w:rPr>
          <w:rFonts w:ascii="Calibri" w:cs="Calibri" w:eastAsia="Calibri" w:hAnsi="Calibri"/>
          <w:sz w:val="21"/>
          <w:szCs w:val="21"/>
        </w:rPr>
        <w:t xml:space="preserve">" means a multi-year project undertaken in fulfilment of the CSR obligation, having a timeline not exceeding the number of years prescribed, excluding the financial year in which it commenced, and includes a project initially not approved as multi-year which is subsequently extended by the Board on reasonable justification.</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Where an amount remains unspent at the end of a financial year and relates to an ongoing project, the Company shall transfer that amount, within the period prescribed after the end of the financial year, to a special account opened for the purpose, to be called the Unspent Corporate Social Responsibility Account for that financial year, and shall spend it in pursuance of the project within the number of financial years prescribed from the date of transfer.</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Any amount remaining unspent in that account at the end of the permitted period shall be transferred to a fund specified in Schedule VII within the period prescribed.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Where an amount remains unspent at the end of a financial year and does not relate to an ongoing project, the Company shall transfer it to a fund specified in Schedule VII within the period prescribed after the end of the financial year.</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Board shall specify in its report the reason for any amount remaining unspent, and shall record the reason contemporaneously rather than at the time the report is prepared.</w:t>
      </w:r>
    </w:p>
    <w:p>
      <w:pPr>
        <w:keepNext/>
        <w:spacing w:after="120" w:before="280"/>
        <w:outlineLvl w:val="0"/>
      </w:pPr>
      <w:r>
        <w:rPr>
          <w:rFonts w:ascii="Calibri" w:cs="Calibri" w:eastAsia="Calibri" w:hAnsi="Calibri"/>
          <w:b/>
          <w:bCs/>
          <w:color w:val="14161B"/>
          <w:sz w:val="22"/>
          <w:szCs w:val="22"/>
        </w:rPr>
        <w:t xml:space="preserve">7. MONITORING, IMPACT ASSESSMENT AND REPORTING</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Committee shall review the progress of each project against the annual action plan at each of its meetings, and shall report to the Board on the amounts disbursed, the amounts utilised, the milestones achieved and any variance.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 shall certify to the Board that the funds disbursed have been utilised for the purposes and in the manner approved.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Impact assessment.</w:t>
      </w:r>
      <w:r>
        <w:rPr>
          <w:rFonts w:ascii="Calibri" w:cs="Calibri" w:eastAsia="Calibri" w:hAnsi="Calibri"/>
          <w:sz w:val="21"/>
          <w:szCs w:val="21"/>
        </w:rPr>
        <w:t xml:space="preserve"> Where the Company is required to undertake an impact assessment, being where its average CSR obligation over the preceding financial years exceeds the amount prescribed, it shall have the impact of each project exceeding the prescribed value, and having been completed not less than one year before, assessed through an independent agency. The expenditure on impact assessment may be booked as CSR expenditure subject to the limit prescribed.</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annual report on CSR activities, in the format prescribed by the rules, shall be annexed to the Board’s report. The composition of the Committee, the CSR policy and the projects approved by the Board shall be disclosed on the Company’s website.</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Company shall file the return on CSR in the form and within the period prescribed.</w:t>
      </w:r>
    </w:p>
    <w:p>
      <w:pPr>
        <w:keepNext/>
        <w:spacing w:after="120" w:before="280"/>
        <w:outlineLvl w:val="0"/>
      </w:pPr>
      <w:r>
        <w:rPr>
          <w:rFonts w:ascii="Calibri" w:cs="Calibri" w:eastAsia="Calibri" w:hAnsi="Calibri"/>
          <w:b/>
          <w:bCs/>
          <w:color w:val="14161B"/>
          <w:sz w:val="22"/>
          <w:szCs w:val="22"/>
        </w:rPr>
        <w:t xml:space="preserve">8. RECORDS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Company shall maintain, for each financial year, the computation of net profit and of the amount required to be spent, the annual action plan as approved and as amended, the agreements with implementing agencies and their registration certificates, the utilisation certificates, the disbursement records, the impact assessment reports, the Committee minutes, and the bank statements of the Unspent CSR Account.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These records shall be retained for not less than </w:t>
      </w:r>
      <w:r>
        <w:rPr>
          <w:rFonts w:ascii="Calibri" w:cs="Calibri" w:eastAsia="Calibri" w:hAnsi="Calibri"/>
          <w:b/>
          <w:bCs/>
          <w:sz w:val="21"/>
          <w:szCs w:val="21"/>
        </w:rPr>
        <w:t xml:space="preserve">[8]</w:t>
      </w:r>
      <w:r>
        <w:rPr>
          <w:rFonts w:ascii="Calibri" w:cs="Calibri" w:eastAsia="Calibri" w:hAnsi="Calibri"/>
          <w:sz w:val="21"/>
          <w:szCs w:val="21"/>
        </w:rPr>
        <w:t xml:space="preserve"> years and shall be produced to the auditors and to any authority on request.</w:t>
      </w:r>
    </w:p>
    <w:p>
      <w:pPr>
        <w:keepNext/>
        <w:spacing w:after="120" w:before="280"/>
        <w:outlineLvl w:val="0"/>
      </w:pPr>
      <w:r>
        <w:rPr>
          <w:rFonts w:ascii="Calibri" w:cs="Calibri" w:eastAsia="Calibri" w:hAnsi="Calibri"/>
          <w:b/>
          <w:bCs/>
          <w:color w:val="14161B"/>
          <w:sz w:val="22"/>
          <w:szCs w:val="22"/>
        </w:rPr>
        <w:t xml:space="preserve">9. REVIEW</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policy shall be reviewed by the Committee and the Board at least annually and on any change in the applicable law, and any amendment shall be recorded with its version number and effective date and published on the Company’s website.</w:t>
      </w:r>
    </w:p>
    <w:p>
      <w:pPr>
        <w:spacing w:after="240"/>
      </w:pPr>
    </w:p>
    <w:p>
      <w:pPr>
        <w:spacing w:after="240" w:before="0" w:line="276"/>
        <w:jc w:val="both"/>
      </w:pPr>
      <w:r>
        <w:rPr>
          <w:rFonts w:ascii="Calibri" w:cs="Calibri" w:eastAsia="Calibri" w:hAnsi="Calibri"/>
          <w:b/>
          <w:bCs/>
          <w:sz w:val="21"/>
          <w:szCs w:val="21"/>
        </w:rPr>
        <w:t xml:space="preserve">Approved by the Board of Directors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[Chairperson of the CSR Committee]</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Applicability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1927"/>
        <w:gridCol w:w="2120"/>
        <w:gridCol w:w="1158"/>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Criterion</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Threshold prescribed</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Company’s figure for FY </w:t>
            </w:r>
            <w:r>
              <w:rPr>
                <w:rFonts w:ascii="Calibri" w:cs="Calibri" w:eastAsia="Calibri" w:hAnsi="Calibri"/>
                <w:b/>
                <w:bCs/>
                <w:sz w:val="19"/>
                <w:szCs w:val="19"/>
              </w:rPr>
              <w:t xml:space="preserve">[YEAR]</w:t>
            </w:r>
          </w:p>
        </w:tc>
        <w:tc>
          <w:tcPr>
            <w:tcW w:type="dxa" w:w="1158"/>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Met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worth</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Turnover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profit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CSR provisions applicable for FY </w:t>
            </w:r>
            <w:r>
              <w:rPr>
                <w:rFonts w:ascii="Calibri" w:cs="Calibri" w:eastAsia="Calibri" w:hAnsi="Calibri"/>
                <w:b/>
                <w:bCs/>
                <w:sz w:val="19"/>
                <w:szCs w:val="19"/>
              </w:rPr>
              <w:t xml:space="preserve">[YEAR]</w:t>
            </w:r>
          </w:p>
        </w:tc>
        <w:tc>
          <w:tcPr>
            <w:tcW w:type="dxa" w:w="1927"/>
            <w:tcMar>
              <w:top w:type="dxa" w:w="70"/>
              <w:left w:type="dxa" w:w="100"/>
              <w:bottom w:type="dxa" w:w="70"/>
              <w:right w:type="dxa" w:w="100"/>
            </w:tcMar>
            <w:vAlign w:val="center"/>
          </w:tcPr>
          <w:p>
            <w:pPr>
              <w:spacing w:after="0" w:line="240"/>
              <w:jc w:val="right"/>
            </w:pPr>
          </w:p>
        </w:tc>
        <w:tc>
          <w:tcPr>
            <w:tcW w:type="dxa" w:w="2120"/>
            <w:tcMar>
              <w:top w:type="dxa" w:w="70"/>
              <w:left w:type="dxa" w:w="100"/>
              <w:bottom w:type="dxa" w:w="70"/>
              <w:right w:type="dxa" w:w="100"/>
            </w:tcMar>
            <w:vAlign w:val="center"/>
          </w:tcPr>
          <w:p>
            <w:pPr>
              <w:spacing w:after="0" w:line="240"/>
              <w:jc w:val="right"/>
            </w:pP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CSR Committee required (obligation exceeds the amount prescribed)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Impact assessment required (average obligation exceeds the amount prescribed)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158"/>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Composition of the CSR Committee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734"/>
        <w:gridCol w:w="2891"/>
        <w:gridCol w:w="2122"/>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 on the Committee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[Executive / Non-executive / Independent]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Computation of the Amount to be Spent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011"/>
        <w:gridCol w:w="1542"/>
        <w:gridCol w:w="1542"/>
        <w:gridCol w:w="1543"/>
      </w:tblGrid>
      <w:tr>
        <w:trPr>
          <w:tblHeader/>
        </w:trPr>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[Y-3]</w:t>
            </w:r>
          </w:p>
        </w:tc>
        <w:tc>
          <w:tcPr>
            <w:tcW w:type="dxa" w:w="154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[Y-2]</w:t>
            </w:r>
          </w:p>
        </w:tc>
        <w:tc>
          <w:tcPr>
            <w:tcW w:type="dxa" w:w="154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FY </w:t>
            </w:r>
            <w:r>
              <w:rPr>
                <w:rFonts w:ascii="Calibri" w:cs="Calibri" w:eastAsia="Calibri" w:hAnsi="Calibri"/>
                <w:b/>
                <w:bCs/>
                <w:sz w:val="19"/>
                <w:szCs w:val="19"/>
              </w:rPr>
              <w:t xml:space="preserve">[Y-1]</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profit computed in the manner prescribed for CSR (₹)</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Average net profit of the three preceding financial years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Prescribed percentage of the average net profit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Less: excess spent in earlier years and set off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Amount required to be spent in FY </w:t>
            </w:r>
            <w:r>
              <w:rPr>
                <w:rFonts w:ascii="Calibri" w:cs="Calibri" w:eastAsia="Calibri" w:hAnsi="Calibri"/>
                <w:b/>
                <w:bCs/>
                <w:sz w:val="19"/>
                <w:szCs w:val="19"/>
              </w:rPr>
              <w:t xml:space="preserve">[YEAR]</w:t>
            </w:r>
            <w:r>
              <w:rPr>
                <w:rFonts w:ascii="Calibri" w:cs="Calibri" w:eastAsia="Calibri" w:hAnsi="Calibri"/>
                <w:b/>
                <w:bCs/>
                <w:sz w:val="19"/>
                <w:szCs w:val="19"/>
              </w:rPr>
              <w:t xml:space="preserve">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actually spent during the financial year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transferred to the Unspent CSR Account — ongoing projects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transferred to a fund specified in Schedule VII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Shortfall, if any (₹)</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the shortfall</w:t>
            </w:r>
          </w:p>
        </w:tc>
        <w:tc>
          <w:tcPr>
            <w:tcW w:type="dxa" w:w="1542"/>
            <w:tcMar>
              <w:top w:type="dxa" w:w="70"/>
              <w:left w:type="dxa" w:w="100"/>
              <w:bottom w:type="dxa" w:w="70"/>
              <w:right w:type="dxa" w:w="100"/>
            </w:tcMar>
            <w:vAlign w:val="center"/>
          </w:tcPr>
          <w:p>
            <w:pPr>
              <w:spacing w:after="0" w:line="240"/>
              <w:jc w:val="right"/>
            </w:pPr>
          </w:p>
        </w:tc>
        <w:tc>
          <w:tcPr>
            <w:tcW w:type="dxa" w:w="1542"/>
            <w:tcMar>
              <w:top w:type="dxa" w:w="70"/>
              <w:left w:type="dxa" w:w="100"/>
              <w:bottom w:type="dxa" w:w="70"/>
              <w:right w:type="dxa" w:w="100"/>
            </w:tcMar>
            <w:vAlign w:val="center"/>
          </w:tcPr>
          <w:p>
            <w:pPr>
              <w:spacing w:after="0" w:line="240"/>
              <w:jc w:val="right"/>
            </w:pPr>
          </w:p>
        </w:tc>
        <w:tc>
          <w:tcPr>
            <w:tcW w:type="dxa" w:w="154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[REASON]</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Annual Action Plan for FY </w:t>
      </w:r>
      <w:r>
        <w:rPr>
          <w:rFonts w:ascii="Calibri" w:cs="Calibri" w:eastAsia="Calibri" w:hAnsi="Calibri"/>
          <w:b/>
          <w:bCs/>
          <w:i/>
          <w:iCs/>
          <w:color w:val="6E7480"/>
          <w:sz w:val="19"/>
          <w:szCs w:val="19"/>
        </w:rPr>
        <w:t xml:space="preserve">[YEAR]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2556"/>
        <w:gridCol w:w="1203"/>
        <w:gridCol w:w="902"/>
        <w:gridCol w:w="1503"/>
        <w:gridCol w:w="1353"/>
        <w:gridCol w:w="1503"/>
        <w:gridCol w:w="1954"/>
        <w:gridCol w:w="1052"/>
        <w:gridCol w:w="902"/>
        <w:gridCol w:w="1509"/>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Project</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Schedule VII item</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Local area</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Location</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 allocated (₹)</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 of implementation</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Implementing agency and registration no.</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Duration</w:t>
            </w:r>
          </w:p>
        </w:tc>
        <w:tc>
          <w:tcPr>
            <w:tcW w:type="dxa" w:w="9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Ongoing project</w:t>
            </w:r>
          </w:p>
        </w:tc>
        <w:tc>
          <w:tcPr>
            <w:tcW w:type="dxa" w:w="15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Monitoring mechanism</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[PROJECT NAME AND DESCRIPTION]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[STATE, DISTRICT]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[Direct / Through agency]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 REG. NO.]</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[PROJECT]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[LOCATION]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[AGENCY]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[PROJECT]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[LOCATION]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[MODE]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[AGENCY]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[MONTHS]</w:t>
            </w:r>
          </w:p>
        </w:tc>
        <w:tc>
          <w:tcPr>
            <w:tcW w:type="dxa" w:w="90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50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r>
      <w:tr>
        <w:tc>
          <w:tcPr>
            <w:tcW w:type="dxa" w:w="601"/>
            <w:tcMar>
              <w:top w:type="dxa" w:w="70"/>
              <w:left w:type="dxa" w:w="100"/>
              <w:bottom w:type="dxa" w:w="70"/>
              <w:right w:type="dxa" w:w="100"/>
            </w:tcMar>
            <w:vAlign w:val="center"/>
          </w:tcPr>
          <w:p>
            <w:pPr>
              <w:spacing w:after="0" w:line="240"/>
              <w:jc w:val="left"/>
            </w:pP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w:t>
            </w:r>
          </w:p>
        </w:tc>
        <w:tc>
          <w:tcPr>
            <w:tcW w:type="dxa" w:w="1203"/>
            <w:tcMar>
              <w:top w:type="dxa" w:w="70"/>
              <w:left w:type="dxa" w:w="100"/>
              <w:bottom w:type="dxa" w:w="70"/>
              <w:right w:type="dxa" w:w="100"/>
            </w:tcMar>
            <w:vAlign w:val="center"/>
          </w:tcPr>
          <w:p>
            <w:pPr>
              <w:spacing w:after="0" w:line="240"/>
              <w:jc w:val="left"/>
            </w:pPr>
          </w:p>
        </w:tc>
        <w:tc>
          <w:tcPr>
            <w:tcW w:type="dxa" w:w="902"/>
            <w:tcMar>
              <w:top w:type="dxa" w:w="70"/>
              <w:left w:type="dxa" w:w="100"/>
              <w:bottom w:type="dxa" w:w="70"/>
              <w:right w:type="dxa" w:w="100"/>
            </w:tcMar>
            <w:vAlign w:val="center"/>
          </w:tcPr>
          <w:p>
            <w:pPr>
              <w:spacing w:after="0" w:line="240"/>
              <w:jc w:val="left"/>
            </w:pPr>
          </w:p>
        </w:tc>
        <w:tc>
          <w:tcPr>
            <w:tcW w:type="dxa" w:w="1503"/>
            <w:tcMar>
              <w:top w:type="dxa" w:w="70"/>
              <w:left w:type="dxa" w:w="100"/>
              <w:bottom w:type="dxa" w:w="70"/>
              <w:right w:type="dxa" w:w="100"/>
            </w:tcMar>
            <w:vAlign w:val="center"/>
          </w:tcPr>
          <w:p>
            <w:pPr>
              <w:spacing w:after="0" w:line="240"/>
              <w:jc w:val="left"/>
            </w:pP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503"/>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p>
        </w:tc>
        <w:tc>
          <w:tcPr>
            <w:tcW w:type="dxa" w:w="1052"/>
            <w:tcMar>
              <w:top w:type="dxa" w:w="70"/>
              <w:left w:type="dxa" w:w="100"/>
              <w:bottom w:type="dxa" w:w="70"/>
              <w:right w:type="dxa" w:w="100"/>
            </w:tcMar>
            <w:vAlign w:val="center"/>
          </w:tcPr>
          <w:p>
            <w:pPr>
              <w:spacing w:after="0" w:line="240"/>
              <w:jc w:val="left"/>
            </w:pPr>
          </w:p>
        </w:tc>
        <w:tc>
          <w:tcPr>
            <w:tcW w:type="dxa" w:w="902"/>
            <w:tcMar>
              <w:top w:type="dxa" w:w="70"/>
              <w:left w:type="dxa" w:w="100"/>
              <w:bottom w:type="dxa" w:w="70"/>
              <w:right w:type="dxa" w:w="100"/>
            </w:tcMar>
            <w:vAlign w:val="center"/>
          </w:tcPr>
          <w:p>
            <w:pPr>
              <w:spacing w:after="0" w:line="240"/>
              <w:jc w:val="left"/>
            </w:pPr>
          </w:p>
        </w:tc>
        <w:tc>
          <w:tcPr>
            <w:tcW w:type="dxa" w:w="1509"/>
            <w:tcMar>
              <w:top w:type="dxa" w:w="70"/>
              <w:left w:type="dxa" w:w="100"/>
              <w:bottom w:type="dxa" w:w="70"/>
              <w:right w:type="dxa" w:w="100"/>
            </w:tcMar>
            <w:vAlign w:val="center"/>
          </w:tcPr>
          <w:p>
            <w:pPr>
              <w:spacing w:after="0" w:line="240"/>
              <w:jc w:val="left"/>
            </w:pP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E</w:t>
      </w:r>
    </w:p>
    <w:p>
      <w:pPr>
        <w:spacing w:after="260"/>
        <w:jc w:val="center"/>
      </w:pPr>
      <w:r>
        <w:rPr>
          <w:rFonts w:ascii="Calibri" w:cs="Calibri" w:eastAsia="Calibri" w:hAnsi="Calibri"/>
          <w:i/>
          <w:iCs/>
          <w:color w:val="6E7480"/>
          <w:sz w:val="19"/>
          <w:szCs w:val="19"/>
        </w:rPr>
        <w:t xml:space="preserve">Annual Report on CSR Activities</w:t>
      </w:r>
    </w:p>
    <w:p>
      <w:pPr>
        <w:spacing w:after="140" w:before="0" w:line="276"/>
        <w:jc w:val="both"/>
      </w:pPr>
      <w:r>
        <w:rPr>
          <w:rFonts w:ascii="Calibri" w:cs="Calibri" w:eastAsia="Calibri" w:hAnsi="Calibri"/>
          <w:i/>
          <w:iCs/>
          <w:sz w:val="21"/>
          <w:szCs w:val="21"/>
        </w:rPr>
        <w:t xml:space="preserve">To be annexed to the Board’s report in the format prescribed by the rules. Reproduce the prescribed format — the fields below are the substance it requires.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6917"/>
        <w:gridCol w:w="7520"/>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69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Field</w:t>
            </w:r>
          </w:p>
        </w:tc>
        <w:tc>
          <w:tcPr>
            <w:tcW w:type="dxa" w:w="75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Brief outline of the CSR policy</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[TEXT]</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Composition of the CSR Committee, meetings held and attended</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[TABLE]</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Web links to the composition, the policy and the projects approved</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[LINKS]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Impact assessment reports, where applicable, and web link</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Average net profit of the preceding financial years</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Prescribed percentage of the average net profit; surplus from CSR activities; amount required to be set off</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CSR obligation for the financial year</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Amount spent on projects, on administrative overheads, and on impact assessment</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Amount transferred to the Unspent CSR Account, with the date of transfer</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 AND DATE]</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Amount transferred to a fund specified in Schedule VII, with the date of transfer</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 AND DATE]</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Excess amount for set off in succeeding years</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[AMOUNT]</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Details of unspent amounts of the preceding financial years and their utilisation</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[TABLE]</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any capital asset was created or acquired through CSR spend, and details of the entity in whose name it is held</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691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Reason for failing to spend the required amount, where applicable</w:t>
            </w:r>
          </w:p>
        </w:tc>
        <w:tc>
          <w:tcPr>
            <w:tcW w:type="dxa" w:w="75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[REASON]</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Applicability is tested every year, both ways</w:t>
      </w:r>
    </w:p>
    <w:p>
      <w:pPr>
        <w:spacing w:after="60" w:line="264"/>
        <w:jc w:val="both"/>
      </w:pPr>
      <w:r>
        <w:rPr>
          <w:rFonts w:ascii="Calibri" w:cs="Calibri" w:eastAsia="Calibri" w:hAnsi="Calibri"/>
          <w:sz w:val="19"/>
          <w:szCs w:val="19"/>
        </w:rPr>
        <w:t xml:space="preserve">The obligation arises where any one of the net worth, turnover or net profit thresholds was met in the immediately preceding financial year. A company can therefore fall within the requirement for the first time on the strength of a single profitable year, and can fall out of it again. Test it at the first Board meeting of each financial year using Annexure A, and where it applies for the first time, remember that the committee, the policy, the action plan and the spend must all be put in place within that year.</w:t>
      </w:r>
    </w:p>
    <w:p>
      <w:pPr>
        <w:keepNext/>
        <w:spacing w:after="40" w:before="140"/>
      </w:pPr>
      <w:r>
        <w:rPr>
          <w:rFonts w:ascii="Calibri" w:cs="Calibri" w:eastAsia="Calibri" w:hAnsi="Calibri"/>
          <w:b/>
          <w:bCs/>
          <w:color w:val="14161B"/>
          <w:sz w:val="20"/>
          <w:szCs w:val="20"/>
        </w:rPr>
        <w:t xml:space="preserve">Net profit for CSR is not the profit in the accounts</w:t>
      </w:r>
    </w:p>
    <w:p>
      <w:pPr>
        <w:spacing w:after="60" w:line="264"/>
        <w:jc w:val="both"/>
      </w:pPr>
      <w:r>
        <w:rPr>
          <w:rFonts w:ascii="Calibri" w:cs="Calibri" w:eastAsia="Calibri" w:hAnsi="Calibri"/>
          <w:sz w:val="19"/>
          <w:szCs w:val="19"/>
        </w:rPr>
        <w:t xml:space="preserve">The amount to be spent is a percentage of the average net profit computed in the specific manner the Act prescribes for this purpose, which differs from the profit shown in the statement of profit and loss. Getting this wrong understates or overstates the obligation and is a recurring audit finding. Document the computation in Annexure C and have it reviewed rather than taking the figure from the accounts.</w:t>
      </w:r>
    </w:p>
    <w:p>
      <w:pPr>
        <w:keepNext/>
        <w:spacing w:after="40" w:before="140"/>
      </w:pPr>
      <w:r>
        <w:rPr>
          <w:rFonts w:ascii="Calibri" w:cs="Calibri" w:eastAsia="Calibri" w:hAnsi="Calibri"/>
          <w:b/>
          <w:bCs/>
          <w:color w:val="14161B"/>
          <w:sz w:val="20"/>
          <w:szCs w:val="20"/>
        </w:rPr>
        <w:t xml:space="preserve">The committee may not be required</w:t>
      </w:r>
    </w:p>
    <w:p>
      <w:pPr>
        <w:spacing w:after="60" w:line="264"/>
        <w:jc w:val="both"/>
      </w:pPr>
      <w:r>
        <w:rPr>
          <w:rFonts w:ascii="Calibri" w:cs="Calibri" w:eastAsia="Calibri" w:hAnsi="Calibri"/>
          <w:sz w:val="19"/>
          <w:szCs w:val="19"/>
        </w:rPr>
        <w:t xml:space="preserve">Where the amount required to be spent does not exceed the amount prescribed, no CSR Committee is needed and the Board discharges its functions. Many smaller companies constitute a committee unnecessarily, then fail to hold its meetings, and create a compliance failure where none was required. Check the position before constituting.</w:t>
      </w:r>
    </w:p>
    <w:p>
      <w:pPr>
        <w:keepNext/>
        <w:spacing w:after="40" w:before="140"/>
      </w:pPr>
      <w:r>
        <w:rPr>
          <w:rFonts w:ascii="Calibri" w:cs="Calibri" w:eastAsia="Calibri" w:hAnsi="Calibri"/>
          <w:b/>
          <w:bCs/>
          <w:color w:val="14161B"/>
          <w:sz w:val="20"/>
          <w:szCs w:val="20"/>
        </w:rPr>
        <w:t xml:space="preserve">Unspent money does not simply stay in the bank</w:t>
      </w:r>
    </w:p>
    <w:p>
      <w:pPr>
        <w:spacing w:after="60" w:line="264"/>
        <w:jc w:val="both"/>
      </w:pPr>
      <w:r>
        <w:rPr>
          <w:rFonts w:ascii="Calibri" w:cs="Calibri" w:eastAsia="Calibri" w:hAnsi="Calibri"/>
          <w:sz w:val="19"/>
          <w:szCs w:val="19"/>
        </w:rPr>
        <w:t xml:space="preserve">This is the provision that changed the character of the obligation. Unspent amounts relating to an ongoing project must be transferred to a dedicated Unspent CSR Account within the period prescribed after the year end and spent within the further period allowed; unspent amounts not relating to an ongoing project must be transferred to a specified fund. Failing to transfer is a distinct default from failing to spend. Diarise both dates immediately after the year end.</w:t>
      </w:r>
    </w:p>
    <w:p>
      <w:pPr>
        <w:keepNext/>
        <w:spacing w:after="40" w:before="140"/>
      </w:pPr>
      <w:r>
        <w:rPr>
          <w:rFonts w:ascii="Calibri" w:cs="Calibri" w:eastAsia="Calibri" w:hAnsi="Calibri"/>
          <w:b/>
          <w:bCs/>
          <w:color w:val="14161B"/>
          <w:sz w:val="20"/>
          <w:szCs w:val="20"/>
        </w:rPr>
        <w:t xml:space="preserve">Ongoing project is a defined term with a time limit</w:t>
      </w:r>
    </w:p>
    <w:p>
      <w:pPr>
        <w:spacing w:after="60" w:line="264"/>
        <w:jc w:val="both"/>
      </w:pPr>
      <w:r>
        <w:rPr>
          <w:rFonts w:ascii="Calibri" w:cs="Calibri" w:eastAsia="Calibri" w:hAnsi="Calibri"/>
          <w:sz w:val="19"/>
          <w:szCs w:val="19"/>
        </w:rPr>
        <w:t xml:space="preserve">It is not simply a project that is continuing. It has a maximum timeline, and the classification determines whether unspent money goes to the Unspent CSR Account or straight to a specified fund. Record the classification in the annual action plan at the time of approval — Annexure D has a column for it — rather than deciding retrospectively when the year end arrives.</w:t>
      </w:r>
    </w:p>
    <w:p>
      <w:pPr>
        <w:keepNext/>
        <w:spacing w:after="40" w:before="140"/>
      </w:pPr>
      <w:r>
        <w:rPr>
          <w:rFonts w:ascii="Calibri" w:cs="Calibri" w:eastAsia="Calibri" w:hAnsi="Calibri"/>
          <w:b/>
          <w:bCs/>
          <w:color w:val="14161B"/>
          <w:sz w:val="20"/>
          <w:szCs w:val="20"/>
        </w:rPr>
        <w:t xml:space="preserve">Implementing agencies must be registered</w:t>
      </w:r>
    </w:p>
    <w:p>
      <w:pPr>
        <w:spacing w:after="60" w:line="264"/>
        <w:jc w:val="both"/>
      </w:pPr>
      <w:r>
        <w:rPr>
          <w:rFonts w:ascii="Calibri" w:cs="Calibri" w:eastAsia="Calibri" w:hAnsi="Calibri"/>
          <w:sz w:val="19"/>
          <w:szCs w:val="19"/>
        </w:rPr>
        <w:t xml:space="preserve">An implementing agency must be of a permitted category, must hold the prescribed registration and registration number, and must have an established track record of the duration prescribed. Obtain and retain the registration certificate before disbursing, not afterwards. Money disbursed to an unregistered agency may not count as CSR spend at all, which leaves the obligation unmet and the money gone.</w:t>
      </w:r>
    </w:p>
    <w:p>
      <w:pPr>
        <w:keepNext/>
        <w:spacing w:after="40" w:before="140"/>
      </w:pPr>
      <w:r>
        <w:rPr>
          <w:rFonts w:ascii="Calibri" w:cs="Calibri" w:eastAsia="Calibri" w:hAnsi="Calibri"/>
          <w:b/>
          <w:bCs/>
          <w:color w:val="14161B"/>
          <w:sz w:val="20"/>
          <w:szCs w:val="20"/>
        </w:rPr>
        <w:t xml:space="preserve">What does not count</w:t>
      </w:r>
    </w:p>
    <w:p>
      <w:pPr>
        <w:spacing w:after="60" w:line="264"/>
        <w:jc w:val="both"/>
      </w:pPr>
      <w:r>
        <w:rPr>
          <w:rFonts w:ascii="Calibri" w:cs="Calibri" w:eastAsia="Calibri" w:hAnsi="Calibri"/>
          <w:sz w:val="19"/>
          <w:szCs w:val="19"/>
        </w:rPr>
        <w:t xml:space="preserve">Clause 4.3 is the list that causes the most disappointment: employee welfare, marketing-driven sponsorship, anything done to comply with another statute, activities outside India, and political contributions. Companies frequently plan CSR around an activity that turns out to be excluded. Test each proposed project against Clause 4.3 at the planning stage.</w:t>
      </w:r>
    </w:p>
    <w:p>
      <w:pPr>
        <w:keepNext/>
        <w:spacing w:after="40" w:before="140"/>
      </w:pPr>
      <w:r>
        <w:rPr>
          <w:rFonts w:ascii="Calibri" w:cs="Calibri" w:eastAsia="Calibri" w:hAnsi="Calibri"/>
          <w:b/>
          <w:bCs/>
          <w:color w:val="14161B"/>
          <w:sz w:val="20"/>
          <w:szCs w:val="20"/>
        </w:rPr>
        <w:t xml:space="preserve">Disburse against milestones</w:t>
      </w:r>
    </w:p>
    <w:p>
      <w:pPr>
        <w:spacing w:after="60" w:line="264"/>
        <w:jc w:val="both"/>
      </w:pPr>
      <w:r>
        <w:rPr>
          <w:rFonts w:ascii="Calibri" w:cs="Calibri" w:eastAsia="Calibri" w:hAnsi="Calibri"/>
          <w:sz w:val="19"/>
          <w:szCs w:val="19"/>
        </w:rPr>
        <w:t xml:space="preserve">Clause 5.4 is not a legal requirement but it is the control that prevents the most common practical failure: money advanced in full at the start of a project and never accounted for. Milestone disbursement against utilisation certificates gives the Chief Financial Officer something to certify under Clause 7.2.</w:t>
      </w:r>
    </w:p>
    <w:p>
      <w:pPr>
        <w:keepNext/>
        <w:spacing w:after="40" w:before="140"/>
      </w:pPr>
      <w:r>
        <w:rPr>
          <w:rFonts w:ascii="Calibri" w:cs="Calibri" w:eastAsia="Calibri" w:hAnsi="Calibri"/>
          <w:b/>
          <w:bCs/>
          <w:color w:val="14161B"/>
          <w:sz w:val="20"/>
          <w:szCs w:val="20"/>
        </w:rPr>
        <w:t xml:space="preserve">Record the reason for shortfall at the time</w:t>
      </w:r>
    </w:p>
    <w:p>
      <w:pPr>
        <w:spacing w:after="60" w:line="264"/>
        <w:jc w:val="both"/>
      </w:pPr>
      <w:r>
        <w:rPr>
          <w:rFonts w:ascii="Calibri" w:cs="Calibri" w:eastAsia="Calibri" w:hAnsi="Calibri"/>
          <w:sz w:val="19"/>
          <w:szCs w:val="19"/>
        </w:rPr>
        <w:t xml:space="preserve">The Board must specify in its report the reason for any amount unspent. A reason constructed months later when the report is being drafted reads as one. Where a project slips, record the reason in the Committee minutes at the time, and the disclosure writes itself.</w:t>
      </w:r>
    </w:p>
    <w:p>
      <w:pPr>
        <w:keepNext/>
        <w:spacing w:after="40" w:before="140"/>
      </w:pPr>
      <w:r>
        <w:rPr>
          <w:rFonts w:ascii="Calibri" w:cs="Calibri" w:eastAsia="Calibri" w:hAnsi="Calibri"/>
          <w:b/>
          <w:bCs/>
          <w:color w:val="14161B"/>
          <w:sz w:val="20"/>
          <w:szCs w:val="20"/>
        </w:rPr>
        <w:t xml:space="preserve">Impact assessment has its own threshold</w:t>
      </w:r>
    </w:p>
    <w:p>
      <w:pPr>
        <w:spacing w:after="60" w:line="264"/>
        <w:jc w:val="both"/>
      </w:pPr>
      <w:r>
        <w:rPr>
          <w:rFonts w:ascii="Calibri" w:cs="Calibri" w:eastAsia="Calibri" w:hAnsi="Calibri"/>
          <w:sz w:val="19"/>
          <w:szCs w:val="19"/>
        </w:rPr>
        <w:t xml:space="preserve">It applies only where the average CSR obligation exceeds the prescribed amount, and then only to projects above a prescribed value completed at least a year earlier. The cost may be booked as CSR expenditure subject to a limit. Check both thresholds before commissioning an assessment, and before assuming one is not needed.</w:t>
      </w:r>
    </w:p>
    <w:p>
      <w:pPr>
        <w:keepNext/>
        <w:spacing w:after="40" w:before="140"/>
      </w:pPr>
      <w:r>
        <w:rPr>
          <w:rFonts w:ascii="Calibri" w:cs="Calibri" w:eastAsia="Calibri" w:hAnsi="Calibri"/>
          <w:b/>
          <w:bCs/>
          <w:color w:val="14161B"/>
          <w:sz w:val="20"/>
          <w:szCs w:val="20"/>
        </w:rPr>
        <w:t xml:space="preserve">Capital assets created through CSR</w:t>
      </w:r>
    </w:p>
    <w:p>
      <w:pPr>
        <w:spacing w:after="60" w:line="264"/>
        <w:jc w:val="both"/>
      </w:pPr>
      <w:r>
        <w:rPr>
          <w:rFonts w:ascii="Calibri" w:cs="Calibri" w:eastAsia="Calibri" w:hAnsi="Calibri"/>
          <w:sz w:val="19"/>
          <w:szCs w:val="19"/>
        </w:rPr>
        <w:t xml:space="preserve">Where a capital asset is created or acquired through CSR spend, it may only be held in the name of an entity of a permitted category, and the details must be reported. An asset created with CSR funds and held in the Company’s own name is a defect that is difficult to unwind. Settle the holding entity before the asset is created.</w:t>
      </w:r>
    </w:p>
    <w:p>
      <w:pPr>
        <w:keepNext/>
        <w:spacing w:after="40" w:before="140"/>
      </w:pPr>
      <w:r>
        <w:rPr>
          <w:rFonts w:ascii="Calibri" w:cs="Calibri" w:eastAsia="Calibri" w:hAnsi="Calibri"/>
          <w:b/>
          <w:bCs/>
          <w:color w:val="14161B"/>
          <w:sz w:val="20"/>
          <w:szCs w:val="20"/>
        </w:rPr>
        <w:t xml:space="preserve">Disclosure and filing</w:t>
      </w:r>
    </w:p>
    <w:p>
      <w:pPr>
        <w:spacing w:after="60" w:line="264"/>
        <w:jc w:val="both"/>
      </w:pPr>
      <w:r>
        <w:rPr>
          <w:rFonts w:ascii="Calibri" w:cs="Calibri" w:eastAsia="Calibri" w:hAnsi="Calibri"/>
          <w:sz w:val="19"/>
          <w:szCs w:val="19"/>
        </w:rPr>
        <w:t xml:space="preserve">The annual report on CSR activities in the prescribed format must be annexed to the Board’s report, the policy and the projects must be on the website, and the CSR return must be filed in the form and within the period prescribed. These are three separate obligations and the filing is the one most often missed.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Thresholds, the percentage, the periods for transfer of unspent amounts, the registration requirements for implementing agencies and the prescribed report format all change — have the policy and the annual action plan reviewed by a company secretary each year.</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2026-08-21T12:53:54.102Z</dcterms:created>
  <dcterms:modified xsi:type="dcterms:W3CDTF">2026-08-21T12:53:54.102Z</dcterms:modified>
</cp:coreProperties>
</file>

<file path=docProps/custom.xml><?xml version="1.0" encoding="utf-8"?>
<Properties xmlns="http://schemas.openxmlformats.org/officeDocument/2006/custom-properties" xmlns:vt="http://schemas.openxmlformats.org/officeDocument/2006/docPropsVTypes"/>
</file>