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CONVERTIBLE NOTE AGREEMENT</w:t>
      </w:r>
    </w:p>
    <w:p>
      <w:pPr>
        <w:spacing w:after="260"/>
        <w:jc w:val="center"/>
      </w:pPr>
      <w:r>
        <w:rPr>
          <w:rFonts w:ascii="Calibri" w:cs="Calibri" w:eastAsia="Calibri" w:hAnsi="Calibri"/>
          <w:i/>
          <w:iCs/>
          <w:color w:val="6E7480"/>
          <w:sz w:val="19"/>
          <w:szCs w:val="19"/>
        </w:rPr>
        <w:t xml:space="preserve">Issued by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 DPIIT-recognised startup</w:t>
      </w:r>
    </w:p>
    <w:p>
      <w:pPr>
        <w:spacing w:after="180" w:before="0" w:line="276"/>
        <w:jc w:val="both"/>
      </w:pPr>
      <w:r>
        <w:rPr>
          <w:rFonts w:ascii="Calibri" w:cs="Calibri" w:eastAsia="Calibri" w:hAnsi="Calibri"/>
          <w:i/>
          <w:iCs/>
          <w:color w:val="6E7480"/>
          <w:sz w:val="21"/>
          <w:szCs w:val="21"/>
        </w:rPr>
        <w:t xml:space="preserve">A convertible note may be issued only by a startup recognised by the Department for Promotion of Industry and Internal Trade. If the Company is not recognised, use compulsorily convertible preference shares instead — money received against a note issued by an unrecognised company is a deposit. Execute on stamp paper of the value prescribed in the State of execution.</w:t>
      </w:r>
    </w:p>
    <w:p>
      <w:pPr>
        <w:spacing w:after="140" w:before="0" w:line="276"/>
        <w:jc w:val="both"/>
      </w:pPr>
      <w:r>
        <w:rPr>
          <w:rFonts w:ascii="Calibri" w:cs="Calibri" w:eastAsia="Calibri" w:hAnsi="Calibri"/>
          <w:b/>
          <w:bCs/>
          <w:sz w:val="21"/>
          <w:szCs w:val="21"/>
        </w:rPr>
        <w:t xml:space="preserve">THIS CONVERTIBLE NOTE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private limited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recognised as a startup by the Department for Promotion of Industry and Internal Trade under recognition number </w:t>
      </w:r>
      <w:r>
        <w:rPr>
          <w:rFonts w:ascii="Calibri" w:cs="Calibri" w:eastAsia="Calibri" w:hAnsi="Calibri"/>
          <w:b/>
          <w:bCs/>
          <w:sz w:val="21"/>
          <w:szCs w:val="21"/>
        </w:rPr>
        <w:t xml:space="preserve">[DPIIT NUMBER]</w:t>
      </w:r>
      <w:r>
        <w:rPr>
          <w:rFonts w:ascii="Calibri" w:cs="Calibri" w:eastAsia="Calibri" w:hAnsi="Calibri"/>
          <w:sz w:val="21"/>
          <w:szCs w:val="21"/>
        </w:rPr>
        <w:t xml:space="preserve"> dated </w:t>
      </w:r>
      <w:r>
        <w:rPr>
          <w:rFonts w:ascii="Calibri" w:cs="Calibri" w:eastAsia="Calibri" w:hAnsi="Calibri"/>
          <w:b/>
          <w:bCs/>
          <w:sz w:val="21"/>
          <w:szCs w:val="21"/>
        </w:rPr>
        <w:t xml:space="preserve">[DATE]</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[INVESTOR NAME]</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residential status under the Foreign Exchange Management Act, 1999]</w:t>
      </w:r>
      <w:r>
        <w:rPr>
          <w:rFonts w:ascii="Calibri" w:cs="Calibri" w:eastAsia="Calibri" w:hAnsi="Calibri"/>
          <w:sz w:val="21"/>
          <w:szCs w:val="21"/>
        </w:rPr>
        <w:t xml:space="preserve"> (the "</w:t>
      </w:r>
      <w:r>
        <w:rPr>
          <w:rFonts w:ascii="Calibri" w:cs="Calibri" w:eastAsia="Calibri" w:hAnsi="Calibri"/>
          <w:b/>
          <w:bCs/>
          <w:sz w:val="21"/>
          <w:szCs w:val="21"/>
        </w:rPr>
        <w:t xml:space="preserve">Investor</w:t>
      </w:r>
      <w:r>
        <w:rPr>
          <w:rFonts w:ascii="Calibri" w:cs="Calibri" w:eastAsia="Calibri" w:hAnsi="Calibri"/>
          <w:sz w:val="21"/>
          <w:szCs w:val="21"/>
        </w:rPr>
        <w:t xml:space="preserve">").</w:t>
      </w:r>
    </w:p>
    <w:p>
      <w:pPr>
        <w:spacing w:after="140" w:before="100" w:line="276"/>
        <w:jc w:val="both"/>
      </w:pPr>
      <w:r>
        <w:rPr>
          <w:rFonts w:ascii="Calibri" w:cs="Calibri" w:eastAsia="Calibri" w:hAnsi="Calibri"/>
          <w:sz w:val="21"/>
          <w:szCs w:val="21"/>
        </w:rPr>
        <w:t xml:space="preserve">The Founders named in Schedule 3 join this Agreement for the purposes of Clause 9 only.</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Company carries on the business of </w:t>
      </w:r>
      <w:r>
        <w:rPr>
          <w:rFonts w:ascii="Calibri" w:cs="Calibri" w:eastAsia="Calibri" w:hAnsi="Calibri"/>
          <w:b/>
          <w:bCs/>
          <w:sz w:val="21"/>
          <w:szCs w:val="21"/>
        </w:rPr>
        <w:t xml:space="preserve">[DESCRIBE]</w:t>
      </w:r>
      <w:r>
        <w:rPr>
          <w:rFonts w:ascii="Calibri" w:cs="Calibri" w:eastAsia="Calibri" w:hAnsi="Calibri"/>
          <w:sz w:val="21"/>
          <w:szCs w:val="21"/>
        </w:rPr>
        <w:t xml:space="preserve"> (the "</w:t>
      </w:r>
      <w:r>
        <w:rPr>
          <w:rFonts w:ascii="Calibri" w:cs="Calibri" w:eastAsia="Calibri" w:hAnsi="Calibri"/>
          <w:b/>
          <w:bCs/>
          <w:sz w:val="21"/>
          <w:szCs w:val="21"/>
        </w:rPr>
        <w:t xml:space="preserve">Business</w:t>
      </w:r>
      <w:r>
        <w:rPr>
          <w:rFonts w:ascii="Calibri" w:cs="Calibri" w:eastAsia="Calibri" w:hAnsi="Calibri"/>
          <w:sz w:val="21"/>
          <w:szCs w:val="21"/>
        </w:rPr>
        <w:t xml:space="preserve">") and is a recognised startup.</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Investor has agreed to advance to the Company the Principal Amount on the terms of this Agreement, convertible into equity securities of the Company as set out below.</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Board and, where required, the shareholders of the Company have approved the issue of the Note.</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Conversion Shares</w:t>
      </w:r>
      <w:r>
        <w:rPr>
          <w:rFonts w:ascii="Calibri" w:cs="Calibri" w:eastAsia="Calibri" w:hAnsi="Calibri"/>
          <w:sz w:val="21"/>
          <w:szCs w:val="21"/>
        </w:rPr>
        <w:t xml:space="preserve">" means the equity securities issued to the Investor on conversion of the Note.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Discount</w:t>
      </w:r>
      <w:r>
        <w:rPr>
          <w:rFonts w:ascii="Calibri" w:cs="Calibri" w:eastAsia="Calibri" w:hAnsi="Calibri"/>
          <w:sz w:val="21"/>
          <w:szCs w:val="21"/>
        </w:rPr>
        <w:t xml:space="preserve">" means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Fully Diluted Basis</w:t>
      </w:r>
      <w:r>
        <w:rPr>
          <w:rFonts w:ascii="Calibri" w:cs="Calibri" w:eastAsia="Calibri" w:hAnsi="Calibri"/>
          <w:sz w:val="21"/>
          <w:szCs w:val="21"/>
        </w:rPr>
        <w:t xml:space="preserve">" means the total share capital of the Company assuming conversion of all convertible securities and exercise of all options and other rights to acquire shares, including the entire employee stock option pool whether or not granted, but excluding the Conversion Shares and the shares issued in the Qualified Financing itself.</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Liquidity Event</w:t>
      </w:r>
      <w:r>
        <w:rPr>
          <w:rFonts w:ascii="Calibri" w:cs="Calibri" w:eastAsia="Calibri" w:hAnsi="Calibri"/>
          <w:sz w:val="21"/>
          <w:szCs w:val="21"/>
        </w:rPr>
        <w:t xml:space="preserve">" means the winding up of the Company, the sale of all or substantially all of its assets or undertaking, any merger, amalgamation or scheme resulting in a change of control, or any transfer of securities resulting in a change of control.</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Maturity Date</w:t>
      </w:r>
      <w:r>
        <w:rPr>
          <w:rFonts w:ascii="Calibri" w:cs="Calibri" w:eastAsia="Calibri" w:hAnsi="Calibri"/>
          <w:sz w:val="21"/>
          <w:szCs w:val="21"/>
        </w:rPr>
        <w:t xml:space="preserve">" means the date falling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the Issue Date, being within the maximum period permitted for a convertible note to remain outstanding without being treated as a deposit.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Note</w:t>
      </w:r>
      <w:r>
        <w:rPr>
          <w:rFonts w:ascii="Calibri" w:cs="Calibri" w:eastAsia="Calibri" w:hAnsi="Calibri"/>
          <w:sz w:val="21"/>
          <w:szCs w:val="21"/>
        </w:rPr>
        <w:t xml:space="preserve">" means the convertible note constituted by this Agreement, in the form of the certificate in Schedule 1.</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Principal Amount</w:t>
      </w:r>
      <w:r>
        <w:rPr>
          <w:rFonts w:ascii="Calibri" w:cs="Calibri" w:eastAsia="Calibri" w:hAnsi="Calibri"/>
          <w:sz w:val="21"/>
          <w:szCs w:val="21"/>
        </w:rPr>
        <w:t xml:space="preserve">" means ₹ </w:t>
      </w:r>
      <w:r>
        <w:rPr>
          <w:rFonts w:ascii="Calibri" w:cs="Calibri" w:eastAsia="Calibri" w:hAnsi="Calibri"/>
          <w:b/>
          <w:bCs/>
          <w:sz w:val="21"/>
          <w:szCs w:val="21"/>
        </w:rPr>
        <w:t xml:space="preserve">[AMOUNT]</w:t>
      </w:r>
      <w:r>
        <w:rPr>
          <w:rFonts w:ascii="Calibri" w:cs="Calibri" w:eastAsia="Calibri" w:hAnsi="Calibri"/>
          <w:sz w:val="21"/>
          <w:szCs w:val="21"/>
        </w:rPr>
        <w:t xml:space="preserve">, being not less than ₹ 25,00,000.</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Qualified Financing</w:t>
      </w:r>
      <w:r>
        <w:rPr>
          <w:rFonts w:ascii="Calibri" w:cs="Calibri" w:eastAsia="Calibri" w:hAnsi="Calibri"/>
          <w:sz w:val="21"/>
          <w:szCs w:val="21"/>
        </w:rPr>
        <w:t xml:space="preserve">" means the next issue by the Company of equity shares or compulsorily convertible preference shares for cash, raising gross proceeds of not less than ₹ </w:t>
      </w:r>
      <w:r>
        <w:rPr>
          <w:rFonts w:ascii="Calibri" w:cs="Calibri" w:eastAsia="Calibri" w:hAnsi="Calibri"/>
          <w:b/>
          <w:bCs/>
          <w:sz w:val="21"/>
          <w:szCs w:val="21"/>
        </w:rPr>
        <w:t xml:space="preserve">[THRESHOLD]</w:t>
      </w:r>
      <w:r>
        <w:rPr>
          <w:rFonts w:ascii="Calibri" w:cs="Calibri" w:eastAsia="Calibri" w:hAnsi="Calibri"/>
          <w:sz w:val="21"/>
          <w:szCs w:val="21"/>
        </w:rPr>
        <w:t xml:space="preserve">, excluding the conversion of this Note and of any other convertible instrument.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Valuation Cap</w:t>
      </w:r>
      <w:r>
        <w:rPr>
          <w:rFonts w:ascii="Calibri" w:cs="Calibri" w:eastAsia="Calibri" w:hAnsi="Calibri"/>
          <w:sz w:val="21"/>
          <w:szCs w:val="21"/>
        </w:rPr>
        <w:t xml:space="preserve">" means ₹ </w:t>
      </w:r>
      <w:r>
        <w:rPr>
          <w:rFonts w:ascii="Calibri" w:cs="Calibri" w:eastAsia="Calibri" w:hAnsi="Calibri"/>
          <w:b/>
          <w:bCs/>
          <w:sz w:val="21"/>
          <w:szCs w:val="21"/>
        </w:rPr>
        <w:t xml:space="preserve">[AMOUNT]</w:t>
      </w:r>
      <w:r>
        <w:rPr>
          <w:rFonts w:ascii="Calibri" w:cs="Calibri" w:eastAsia="Calibri" w:hAnsi="Calibri"/>
          <w:sz w:val="21"/>
          <w:szCs w:val="21"/>
        </w:rPr>
        <w:t xml:space="preserve">, applied to the pre-money valuation of the Company on a Fully Diluted Basis.</w:t>
      </w:r>
    </w:p>
    <w:p>
      <w:pPr>
        <w:keepNext/>
        <w:spacing w:after="120" w:before="280"/>
        <w:outlineLvl w:val="0"/>
      </w:pPr>
      <w:r>
        <w:rPr>
          <w:rFonts w:ascii="Calibri" w:cs="Calibri" w:eastAsia="Calibri" w:hAnsi="Calibri"/>
          <w:b/>
          <w:bCs/>
          <w:color w:val="14161B"/>
          <w:sz w:val="22"/>
          <w:szCs w:val="22"/>
        </w:rPr>
        <w:t xml:space="preserve">2. THE NOTE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Investor shall advance the Principal Amount to the Company by electronic transfer to the account specified in Schedule 2 on or before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Issue Date</w:t>
      </w:r>
      <w:r>
        <w:rPr>
          <w:rFonts w:ascii="Calibri" w:cs="Calibri" w:eastAsia="Calibri" w:hAnsi="Calibri"/>
          <w:sz w:val="21"/>
          <w:szCs w:val="21"/>
        </w:rPr>
        <w:t xml:space="preserve">"), in a single tranche.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On receipt, the Company shall issue to the Investor a note certificate in the form of Schedule 1, shall record the Note in its register of convertible notes, and shall deliver the certificate to the Investor within </w:t>
      </w:r>
      <w:r>
        <w:rPr>
          <w:rFonts w:ascii="Calibri" w:cs="Calibri" w:eastAsia="Calibri" w:hAnsi="Calibri"/>
          <w:b/>
          <w:bCs/>
          <w:sz w:val="21"/>
          <w:szCs w:val="21"/>
        </w:rPr>
        <w:t xml:space="preserve">[7]</w:t>
      </w:r>
      <w:r>
        <w:rPr>
          <w:rFonts w:ascii="Calibri" w:cs="Calibri" w:eastAsia="Calibri" w:hAnsi="Calibri"/>
          <w:sz w:val="21"/>
          <w:szCs w:val="21"/>
        </w:rPr>
        <w:t xml:space="preserve"> Business Days.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Note is unsecured and is not a deposit within the meaning of the Companies Act, 2013 and the rules made under it, being a convertible note of not less than ₹ 25,00,000 in a single tranche issued by a recognised startup and convertible into or repayable within the period stated in the definition of Maturity Date.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Interest.</w:t>
      </w:r>
      <w:r>
        <w:rPr>
          <w:rFonts w:ascii="Calibri" w:cs="Calibri" w:eastAsia="Calibri" w:hAnsi="Calibri"/>
          <w:sz w:val="21"/>
          <w:szCs w:val="21"/>
        </w:rPr>
        <w:t xml:space="preserve"> The Principal Amount shall carry simple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Issue Date, calculated on the actual number of days elapsed on a 365-day year. Interest shall accrue and shall not be paid in cash; it shall convert with the Principal Amount, or be paid on repayment. </w:t>
      </w:r>
      <w:r>
        <w:rPr>
          <w:rFonts w:ascii="Calibri" w:cs="Calibri" w:eastAsia="Calibri" w:hAnsi="Calibri"/>
          <w:i/>
          <w:iCs/>
          <w:sz w:val="21"/>
          <w:szCs w:val="21"/>
        </w:rPr>
        <w:t xml:space="preserve">(Interest is a commercial decision. Many Indian notes carry nil or a nominal rate, partly to avoid the withholding and accounting consequences of accrued interest — specify.)</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Use of proceeds.</w:t>
      </w:r>
      <w:r>
        <w:rPr>
          <w:rFonts w:ascii="Calibri" w:cs="Calibri" w:eastAsia="Calibri" w:hAnsi="Calibri"/>
          <w:sz w:val="21"/>
          <w:szCs w:val="21"/>
        </w:rPr>
        <w:t xml:space="preserve"> The Company shall apply the Principal Amount towards </w:t>
      </w:r>
      <w:r>
        <w:rPr>
          <w:rFonts w:ascii="Calibri" w:cs="Calibri" w:eastAsia="Calibri" w:hAnsi="Calibri"/>
          <w:b/>
          <w:bCs/>
          <w:sz w:val="21"/>
          <w:szCs w:val="21"/>
        </w:rPr>
        <w:t xml:space="preserve">[DESCRIBE]</w:t>
      </w:r>
      <w:r>
        <w:rPr>
          <w:rFonts w:ascii="Calibri" w:cs="Calibri" w:eastAsia="Calibri" w:hAnsi="Calibri"/>
          <w:sz w:val="21"/>
          <w:szCs w:val="21"/>
        </w:rPr>
        <w:t xml:space="preserve">, and shall not apply it towards repayment of any loan from, or any payment to, a founder or a relative or affiliate of a founder.</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Ranking.</w:t>
      </w:r>
      <w:r>
        <w:rPr>
          <w:rFonts w:ascii="Calibri" w:cs="Calibri" w:eastAsia="Calibri" w:hAnsi="Calibri"/>
          <w:sz w:val="21"/>
          <w:szCs w:val="21"/>
        </w:rPr>
        <w:t xml:space="preserve"> The Note ranks pari passu with all other convertible notes issued by the Company on substantially the same terms and ahead of all equity securities. The Company shall not, without the Investor’s consent, issue any instrument ranking senior to the Note.</w:t>
      </w:r>
    </w:p>
    <w:p>
      <w:pPr>
        <w:keepNext/>
        <w:spacing w:after="120" w:before="280"/>
        <w:outlineLvl w:val="0"/>
      </w:pPr>
      <w:r>
        <w:rPr>
          <w:rFonts w:ascii="Calibri" w:cs="Calibri" w:eastAsia="Calibri" w:hAnsi="Calibri"/>
          <w:b/>
          <w:bCs/>
          <w:color w:val="14161B"/>
          <w:sz w:val="22"/>
          <w:szCs w:val="22"/>
        </w:rPr>
        <w:t xml:space="preserve">3. CONVERSION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Automatic conversion on a Qualified Financing.</w:t>
      </w:r>
      <w:r>
        <w:rPr>
          <w:rFonts w:ascii="Calibri" w:cs="Calibri" w:eastAsia="Calibri" w:hAnsi="Calibri"/>
          <w:sz w:val="21"/>
          <w:szCs w:val="21"/>
        </w:rPr>
        <w:t xml:space="preserve"> On the closing of a Qualified Financing, the Principal Amount together with accrued interest shall automatically convert into securities of the class issued in that financing, at a price per share equal to the lower of:</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Valuation Cap divided by the number of shares of the Company on a Fully Diluted Basis immediately before the Qualified Financing; and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price per share paid by investors in the Qualified Financing, less the Discount.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Optional conversion on a non-qualified financing.</w:t>
      </w:r>
      <w:r>
        <w:rPr>
          <w:rFonts w:ascii="Calibri" w:cs="Calibri" w:eastAsia="Calibri" w:hAnsi="Calibri"/>
          <w:sz w:val="21"/>
          <w:szCs w:val="21"/>
        </w:rPr>
        <w:t xml:space="preserve"> If the Company issues equity securities for cash in an amount below the Qualified Financing threshold, the Investor may by written notice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elect to convert on the basis set out in Clause 3.1 applied to that financing.</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Liquidity Event.</w:t>
      </w:r>
      <w:r>
        <w:rPr>
          <w:rFonts w:ascii="Calibri" w:cs="Calibri" w:eastAsia="Calibri" w:hAnsi="Calibri"/>
          <w:sz w:val="21"/>
          <w:szCs w:val="21"/>
        </w:rPr>
        <w:t xml:space="preserve"> If a Liquidity Event occurs before conversion, the Investor shall be entitled, at its option exercisable by written notice, to receive either (a) the Principal Amount together with accrued interest, or (b) the consideration it would have received had the Note converted immediately before that event at the price in Clause 3.1(a). The Company shall give the Investor not less than </w:t>
      </w:r>
      <w:r>
        <w:rPr>
          <w:rFonts w:ascii="Calibri" w:cs="Calibri" w:eastAsia="Calibri" w:hAnsi="Calibri"/>
          <w:b/>
          <w:bCs/>
          <w:sz w:val="21"/>
          <w:szCs w:val="21"/>
        </w:rPr>
        <w:t xml:space="preserve">[15]</w:t>
      </w:r>
      <w:r>
        <w:rPr>
          <w:rFonts w:ascii="Calibri" w:cs="Calibri" w:eastAsia="Calibri" w:hAnsi="Calibri"/>
          <w:sz w:val="21"/>
          <w:szCs w:val="21"/>
        </w:rPr>
        <w:t xml:space="preserve"> Business Days’ written notice of any anticipated Liquidity Event.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Maturity.</w:t>
      </w:r>
      <w:r>
        <w:rPr>
          <w:rFonts w:ascii="Calibri" w:cs="Calibri" w:eastAsia="Calibri" w:hAnsi="Calibri"/>
          <w:sz w:val="21"/>
          <w:szCs w:val="21"/>
        </w:rPr>
        <w:t xml:space="preserve"> If no conversion has occurred by the Maturity Date, the Investor may by written notice given not later than </w:t>
      </w:r>
      <w:r>
        <w:rPr>
          <w:rFonts w:ascii="Calibri" w:cs="Calibri" w:eastAsia="Calibri" w:hAnsi="Calibri"/>
          <w:b/>
          <w:bCs/>
          <w:sz w:val="21"/>
          <w:szCs w:val="21"/>
        </w:rPr>
        <w:t xml:space="preserve">[30]</w:t>
      </w:r>
      <w:r>
        <w:rPr>
          <w:rFonts w:ascii="Calibri" w:cs="Calibri" w:eastAsia="Calibri" w:hAnsi="Calibri"/>
          <w:sz w:val="21"/>
          <w:szCs w:val="21"/>
        </w:rPr>
        <w:t xml:space="preserve"> days before the Maturity Date elect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convert the Principal Amount together with accrued interest at the price in Clause 3.1(a), applied to the Fully Diluted Basis as at the Maturity Date;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extend the Maturity Date by a period agreed with the Company, provided the extended date remains within the maximum period permitted by law;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require repayment of the Principal Amount together with accrued interest, payable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Maturity Date.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If the Investor gives no notice, the Note shall convert automatically under paragraph (a). </w:t>
      </w:r>
      <w:r>
        <w:rPr>
          <w:rFonts w:ascii="Calibri" w:cs="Calibri" w:eastAsia="Calibri" w:hAnsi="Calibri"/>
          <w:i/>
          <w:iCs/>
          <w:sz w:val="21"/>
          <w:szCs w:val="21"/>
        </w:rPr>
        <w:t xml:space="preserve">(Automatic conversion as the default is the safer structure: a note that is neither converted nor repaid by the maturity date ceases to be an exempted instrument and, where the Investor is a non-resident, is an exchange control contravention.)</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No issue below face value.</w:t>
      </w:r>
      <w:r>
        <w:rPr>
          <w:rFonts w:ascii="Calibri" w:cs="Calibri" w:eastAsia="Calibri" w:hAnsi="Calibri"/>
          <w:sz w:val="21"/>
          <w:szCs w:val="21"/>
        </w:rPr>
        <w:t xml:space="preserve"> No Conversion Share shall be issued at a price below its face value. If the conversion formula would produce a price below face value, the price shall be the face value and the parties shall in good faith agree a lawful means of giving the Investor the economic benefit intended, including by way of a bonus issue to the extent permitted.</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b/>
          <w:bCs/>
          <w:sz w:val="21"/>
          <w:szCs w:val="21"/>
        </w:rPr>
        <w:t xml:space="preserve">Pricing floor for non-resident Investors.</w:t>
      </w:r>
      <w:r>
        <w:rPr>
          <w:rFonts w:ascii="Calibri" w:cs="Calibri" w:eastAsia="Calibri" w:hAnsi="Calibri"/>
          <w:sz w:val="21"/>
          <w:szCs w:val="21"/>
        </w:rPr>
        <w:t xml:space="preserve"> Where the Investor is a person resident outside India, the price at which the Conversion Shares are issued shall not be less than the fair market value determined in accordance with the pricing guidelines under the Foreign Exchange Management (Non-debt Instruments) Rules, 2019, as certified by a person qualified to do so under those Rules, as at the date of conversion. The Valuation Cap and the Discount shall apply only to the extent that they produce a price at or above that floor, and the balance of the Investor’s economic entitlement shall be dealt with as the parties agree in a manner permitted by law.</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b/>
          <w:bCs/>
          <w:sz w:val="21"/>
          <w:szCs w:val="21"/>
        </w:rPr>
        <w:t xml:space="preserve">Mechanics.</w:t>
      </w:r>
      <w:r>
        <w:rPr>
          <w:rFonts w:ascii="Calibri" w:cs="Calibri" w:eastAsia="Calibri" w:hAnsi="Calibri"/>
          <w:sz w:val="21"/>
          <w:szCs w:val="21"/>
        </w:rPr>
        <w:t xml:space="preserve"> On conversion the Company shall,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convene a Board meeting, allot the Conversion Shares, enter the Investor in the register of members, issue the share certificates duly stamped or credit the Investor’s demat account, and deliver an updated capitalisation table. The Investor shall surrender the note certificate and shall execute the transaction documents entered into by the investors in the relevant financing, provided that the Investor shall give no warranty other than as to its own title, capacity and authority.</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b/>
          <w:bCs/>
          <w:sz w:val="21"/>
          <w:szCs w:val="21"/>
        </w:rPr>
        <w:t xml:space="preserve">Fractions.</w:t>
      </w:r>
      <w:r>
        <w:rPr>
          <w:rFonts w:ascii="Calibri" w:cs="Calibri" w:eastAsia="Calibri" w:hAnsi="Calibri"/>
          <w:sz w:val="21"/>
          <w:szCs w:val="21"/>
        </w:rPr>
        <w:t xml:space="preserve"> Fractional shares shall be rounded down to the nearest whole share and any resulting balance shall be repaid to the Investor.</w:t>
      </w:r>
    </w:p>
    <w:p>
      <w:pPr>
        <w:spacing w:after="0" w:before="0" w:line="1"/>
      </w:pPr>
      <w:r>
        <w:br w:type="page"/>
      </w:r>
    </w:p>
    <w:p>
      <w:pPr>
        <w:keepNext/>
        <w:spacing w:after="100" w:before="200"/>
        <w:outlineLvl w:val="1"/>
      </w:pPr>
      <w:r>
        <w:rPr>
          <w:rFonts w:ascii="Calibri" w:cs="Calibri" w:eastAsia="Calibri" w:hAnsi="Calibri"/>
          <w:b/>
          <w:bCs/>
          <w:color w:val="14161B"/>
          <w:sz w:val="21"/>
          <w:szCs w:val="21"/>
        </w:rPr>
        <w:t xml:space="preserve">Illustration of the conversion formula</w:t>
      </w:r>
    </w:p>
    <w:p>
      <w:pPr>
        <w:spacing w:after="120" w:before="0" w:line="276"/>
        <w:jc w:val="both"/>
      </w:pPr>
      <w:r>
        <w:rPr>
          <w:rFonts w:ascii="Calibri" w:cs="Calibri" w:eastAsia="Calibri" w:hAnsi="Calibri"/>
          <w:sz w:val="21"/>
          <w:szCs w:val="21"/>
        </w:rPr>
        <w:t xml:space="preserve">Illustrative only. Delete before circulating, or replace with the actual figures.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168"/>
        <w:gridCol w:w="3470"/>
      </w:tblGrid>
      <w:tr>
        <w:trPr>
          <w:tblHeader/>
        </w:trPr>
        <w:tc>
          <w:tcPr>
            <w:tcW w:type="dxa" w:w="6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Input</w:t>
            </w:r>
          </w:p>
        </w:tc>
        <w:tc>
          <w:tcPr>
            <w:tcW w:type="dxa" w:w="347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Amount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50,00,000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Cap</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15,00,00,000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20 per cent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Shares on a Fully Diluted Basis before the Qualified Financing</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7,50,000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Qualified Financing price per share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 400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Cap price (₹ 15,00,00,000 ÷ 7,50,000)</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200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Discounted round price (₹ 400 less 20 per cent)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320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Conversion price — the lower of the two</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200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Conversion Shares (₹ 50,00,000 ÷ ₹ 200)</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25,000</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holding after conversion, before the new money</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3.23 per cent</w:t>
            </w:r>
          </w:p>
        </w:tc>
      </w:tr>
    </w:tbl>
    <w:p>
      <w:pPr>
        <w:keepNext/>
        <w:spacing w:after="120" w:before="280"/>
        <w:outlineLvl w:val="0"/>
      </w:pPr>
      <w:r>
        <w:rPr>
          <w:rFonts w:ascii="Calibri" w:cs="Calibri" w:eastAsia="Calibri" w:hAnsi="Calibri"/>
          <w:b/>
          <w:bCs/>
          <w:color w:val="14161B"/>
          <w:sz w:val="22"/>
          <w:szCs w:val="22"/>
        </w:rPr>
        <w:t xml:space="preserve">4. MOST FAVOURED NATION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If, at any time before conversion, the Company issues any convertible instrument on terms more favourable to the holder than those of this Note — including a lower valuation cap, a higher discount, a shorter maturity, security, or any preferential right — the Company shall promptly notify the Investor and the Investor may elect, by written notice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to adopt those terms in place of the corresponding terms of this Note.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Clause 4.1 does not apply to an instrument issued in a Qualified Financing.</w:t>
      </w:r>
    </w:p>
    <w:p>
      <w:pPr>
        <w:keepNext/>
        <w:spacing w:after="120" w:before="280"/>
        <w:outlineLvl w:val="0"/>
      </w:pPr>
      <w:r>
        <w:rPr>
          <w:rFonts w:ascii="Calibri" w:cs="Calibri" w:eastAsia="Calibri" w:hAnsi="Calibri"/>
          <w:b/>
          <w:bCs/>
          <w:color w:val="14161B"/>
          <w:sz w:val="22"/>
          <w:szCs w:val="22"/>
        </w:rPr>
        <w:t xml:space="preserve">5. PRO RATA RIGHT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In addition to the Conversion Shares, the Investor shall have the right to subscribe, on the same terms as investors in the Qualified Financing, for such number of securities as would enable it to maintain the percentage holding it would have had immediately after conversion, up to a maximum investment of ₹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Company shall notify the Investor of the Qualified Financing not less than </w:t>
      </w:r>
      <w:r>
        <w:rPr>
          <w:rFonts w:ascii="Calibri" w:cs="Calibri" w:eastAsia="Calibri" w:hAnsi="Calibri"/>
          <w:b/>
          <w:bCs/>
          <w:sz w:val="21"/>
          <w:szCs w:val="21"/>
        </w:rPr>
        <w:t xml:space="preserve">[15]</w:t>
      </w:r>
      <w:r>
        <w:rPr>
          <w:rFonts w:ascii="Calibri" w:cs="Calibri" w:eastAsia="Calibri" w:hAnsi="Calibri"/>
          <w:sz w:val="21"/>
          <w:szCs w:val="21"/>
        </w:rPr>
        <w:t xml:space="preserve"> Business Days before closing, with the terms, and the Investor shall exercise its right by written notice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that notice.</w:t>
      </w:r>
    </w:p>
    <w:p>
      <w:pPr>
        <w:keepNext/>
        <w:spacing w:after="120" w:before="280"/>
        <w:outlineLvl w:val="0"/>
      </w:pPr>
      <w:r>
        <w:rPr>
          <w:rFonts w:ascii="Calibri" w:cs="Calibri" w:eastAsia="Calibri" w:hAnsi="Calibri"/>
          <w:b/>
          <w:bCs/>
          <w:color w:val="14161B"/>
          <w:sz w:val="22"/>
          <w:szCs w:val="22"/>
        </w:rPr>
        <w:t xml:space="preserve">6. INFORMATION AND COVENANTS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Until conversion or repayment, the Company shall provide the Investor with audited financial statements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financial year end, unaudited financial statements within </w:t>
      </w:r>
      <w:r>
        <w:rPr>
          <w:rFonts w:ascii="Calibri" w:cs="Calibri" w:eastAsia="Calibri" w:hAnsi="Calibri"/>
          <w:b/>
          <w:bCs/>
          <w:sz w:val="21"/>
          <w:szCs w:val="21"/>
        </w:rPr>
        <w:t xml:space="preserve">[45]</w:t>
      </w:r>
      <w:r>
        <w:rPr>
          <w:rFonts w:ascii="Calibri" w:cs="Calibri" w:eastAsia="Calibri" w:hAnsi="Calibri"/>
          <w:sz w:val="21"/>
          <w:szCs w:val="21"/>
        </w:rPr>
        <w:t xml:space="preserve"> days of each half year end, and prompt written notice of any Liquidity Event, any proposed financing, any material litigation or regulatory action, any default, and any event materially adversely affecting the Business.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Until conversion or repayment, the Company shall not, without the Investor’s prior written consent: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amend the terms of this Note or of any other convertible instrument in a manner adverse to the Investor;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issue any instrument ranking senior to the Note, or create any Encumbrance over any material asset;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declare or pay any dividend, or repurchase any securities other than from a departing founder or employee at cost;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make any loan to, or give any guarantee for, a founder or a relative or affiliate of a founder;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change the nature of the Business, or dispose of any material asset or intellectual property outside the ordinary course;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voluntarily commence any winding up or insolvency proceeding.</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Company shall maintain its DPIIT recognition for so long as the Note remains outstanding, shall promptly notify the Investor if that recognition lapses or is withdrawn, and shall not take any step that would cause it to cease to qualify.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Company shall procure that each founder, employee, consultant and contractor executes a written agreement assigning intellectual property to the Company and containing confidentiality obligations.</w:t>
      </w:r>
    </w:p>
    <w:p>
      <w:pPr>
        <w:keepNext/>
        <w:spacing w:after="120" w:before="280"/>
        <w:outlineLvl w:val="0"/>
      </w:pPr>
      <w:r>
        <w:rPr>
          <w:rFonts w:ascii="Calibri" w:cs="Calibri" w:eastAsia="Calibri" w:hAnsi="Calibri"/>
          <w:b/>
          <w:bCs/>
          <w:color w:val="14161B"/>
          <w:sz w:val="22"/>
          <w:szCs w:val="22"/>
        </w:rPr>
        <w:t xml:space="preserve">7. REPRESENTATIONS AND WARRANTIES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represents and warrants to the Investor that: it is duly incorporated and validly existing; it holds a subsisting DPIIT recognition; it has full power and authority to enter into and perform this Agreement and has obtained all necessary corporate approvals; this Agreement is binding on it; the issue of the Note does not breach its constitutional documents, any law, or any agreement binding on it; its capitalisation is as set out in Schedule 3; it is not in default under any material contract; there is no litigation or regulatory proceeding pending or threatened against it; it has filed all statutory returns and paid all taxes due; it owns or is validly licensed to use all intellectual property used in the Business; and it has disclosed to the Investor all information material to a decision to invest.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Investor represents and warrants that it has the capacity and authority to enter into this Agreement, that it is acquiring the Note for its own account, that the funds advanced are from lawful sources, and, where it is a person resident outside India, that it is not a citizen of or an entity incorporated in a jurisdiction from which investment is prohibited and that the advance is remitted through normal banking channels or from a permitted account.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warranties in Clause 7.1 are given as at the date of this Agreement and as at the Issue Date, and shall be repeated as at the date of conversion in respect of matters within the Company’s knowledge.</w:t>
      </w:r>
    </w:p>
    <w:p>
      <w:pPr>
        <w:keepNext/>
        <w:spacing w:after="120" w:before="280"/>
        <w:outlineLvl w:val="0"/>
      </w:pPr>
      <w:r>
        <w:rPr>
          <w:rFonts w:ascii="Calibri" w:cs="Calibri" w:eastAsia="Calibri" w:hAnsi="Calibri"/>
          <w:b/>
          <w:bCs/>
          <w:color w:val="14161B"/>
          <w:sz w:val="22"/>
          <w:szCs w:val="22"/>
        </w:rPr>
        <w:t xml:space="preserve">8. REGULATORY COMPLIANCE AND FILINGS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shall pass all resolutions required for the issue of the Note, including a special resolution under Section 62(3) of the Companies Act, 2013 where the Note may result in shares being issued to the Investor, and shall file Form MGT-14 within the prescribed period.</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Where the Investor is a person resident outside India, the Company shall report the issue of the Note in Form CN to its authorised dealer bank within 30 days of the Issue Date, and on conversion shall file Form FC-GPR within 30 days of allotment of the Conversion Shares, in each case with the supporting documents required.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shall file the return of allotment in Form PAS-3 within the prescribed period after allotment of the Conversion Shares, and shall duly stamp the share certificates.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Company shall deliver evidence of each filing to the Investor within </w:t>
      </w:r>
      <w:r>
        <w:rPr>
          <w:rFonts w:ascii="Calibri" w:cs="Calibri" w:eastAsia="Calibri" w:hAnsi="Calibri"/>
          <w:b/>
          <w:bCs/>
          <w:sz w:val="21"/>
          <w:szCs w:val="21"/>
        </w:rPr>
        <w:t xml:space="preserve">[7]</w:t>
      </w:r>
      <w:r>
        <w:rPr>
          <w:rFonts w:ascii="Calibri" w:cs="Calibri" w:eastAsia="Calibri" w:hAnsi="Calibri"/>
          <w:sz w:val="21"/>
          <w:szCs w:val="21"/>
        </w:rPr>
        <w:t xml:space="preserve"> Business Days of making it, and shall indemnify the Investor against any loss, penalty or compounding cost arising from the Company’s failure to make any filing within time.</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Investor shall provide, promptly on request, the know-your-customer documents, declarations and certificates required for those filings.</w:t>
      </w:r>
    </w:p>
    <w:p>
      <w:pPr>
        <w:keepNext/>
        <w:spacing w:after="120" w:before="280"/>
        <w:outlineLvl w:val="0"/>
      </w:pPr>
      <w:r>
        <w:rPr>
          <w:rFonts w:ascii="Calibri" w:cs="Calibri" w:eastAsia="Calibri" w:hAnsi="Calibri"/>
          <w:b/>
          <w:bCs/>
          <w:color w:val="14161B"/>
          <w:sz w:val="22"/>
          <w:szCs w:val="22"/>
        </w:rPr>
        <w:t xml:space="preserve">9. FOUNDER UNDERTAKINGS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Each founder named in Schedule 3 undertakes that, until conversion or repayment, he or she shall devote his or her full professional time and attention to the Business, shall not transfer or encumber any of his or her shares without the Investor’s consent, shall not engage in any competing business, and shall procure that all intellectual property created in connection with the Business is owned by the Company.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undertakings in Clause 9.1 operate during the founder’s engagement with the Company only. No restraint is imposed on a founder after departure, because Section 27 of the Indian Contract Act, 1872 renders agreements in restraint of trade void.</w:t>
      </w:r>
    </w:p>
    <w:p>
      <w:pPr>
        <w:keepNext/>
        <w:spacing w:after="120" w:before="280"/>
        <w:outlineLvl w:val="0"/>
      </w:pPr>
      <w:r>
        <w:rPr>
          <w:rFonts w:ascii="Calibri" w:cs="Calibri" w:eastAsia="Calibri" w:hAnsi="Calibri"/>
          <w:b/>
          <w:bCs/>
          <w:color w:val="14161B"/>
          <w:sz w:val="22"/>
          <w:szCs w:val="22"/>
        </w:rPr>
        <w:t xml:space="preserve">10. TRANSFER</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Investor may transfer the Note in whole to an affiliate on written notice to the Company, and otherwise only with the Company’s prior written consent, not to be unreasonably withheld, and in each case subject to the transferee executing a deed agreeing to be bound by this Agreement.</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Where the transfer is to or from a person resident outside India, the transfer shall be subject to compliance with applicable exchange control law, including the requirement for the resident party to report the transfer in the prescribed form within the prescribed period, and, where required, a valuation from a registered valuer.</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Company may not assign or transfer any of its obligations under this Agreement.</w:t>
      </w:r>
    </w:p>
    <w:p>
      <w:pPr>
        <w:keepNext/>
        <w:spacing w:after="120" w:before="280"/>
        <w:outlineLvl w:val="0"/>
      </w:pPr>
      <w:r>
        <w:rPr>
          <w:rFonts w:ascii="Calibri" w:cs="Calibri" w:eastAsia="Calibri" w:hAnsi="Calibri"/>
          <w:b/>
          <w:bCs/>
          <w:color w:val="14161B"/>
          <w:sz w:val="22"/>
          <w:szCs w:val="22"/>
        </w:rPr>
        <w:t xml:space="preserve">11. GENERAL</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b/>
          <w:bCs/>
          <w:sz w:val="21"/>
          <w:szCs w:val="21"/>
        </w:rPr>
        <w:t xml:space="preserve">Confidentiality.</w:t>
      </w:r>
      <w:r>
        <w:rPr>
          <w:rFonts w:ascii="Calibri" w:cs="Calibri" w:eastAsia="Calibri" w:hAnsi="Calibri"/>
          <w:sz w:val="21"/>
          <w:szCs w:val="21"/>
        </w:rPr>
        <w:t xml:space="preserve"> Each party shall keep confidential the terms of this Agreement and all information concerning the other, save for disclosure to professional advisers, to the Investor’s investors and prospective transferees under a confidentiality undertaking, or as required by law.</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and delivered by hand, courier or email to the addresses in Schedule 2.</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b/>
          <w:bCs/>
          <w:sz w:val="21"/>
          <w:szCs w:val="21"/>
        </w:rPr>
        <w:t xml:space="preserve">Entire agreement, amendment and waiver.</w:t>
      </w:r>
      <w:r>
        <w:rPr>
          <w:rFonts w:ascii="Calibri" w:cs="Calibri" w:eastAsia="Calibri" w:hAnsi="Calibri"/>
          <w:sz w:val="21"/>
          <w:szCs w:val="21"/>
        </w:rPr>
        <w:t xml:space="preserve"> This Agreement is the entire agreement between the parties on its subject matter. It may be amended only in writing signed by the Company and the Investor.</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b/>
          <w:bCs/>
          <w:sz w:val="21"/>
          <w:szCs w:val="21"/>
        </w:rPr>
        <w:t xml:space="preserve">Costs.</w:t>
      </w:r>
      <w:r>
        <w:rPr>
          <w:rFonts w:ascii="Calibri" w:cs="Calibri" w:eastAsia="Calibri" w:hAnsi="Calibri"/>
          <w:sz w:val="21"/>
          <w:szCs w:val="21"/>
        </w:rPr>
        <w:t xml:space="preserve"> Each party shall bear its own costs. The Company shall bear the stamp duty on this Agreement, on the note certificate, and on the Conversion Shares.</w:t>
      </w:r>
    </w:p>
    <w:p>
      <w:pPr>
        <w:spacing w:after="120" w:before="60" w:line="276"/>
        <w:ind w:left="720" w:hanging="720"/>
        <w:jc w:val="both"/>
      </w:pPr>
      <w:r>
        <w:rPr>
          <w:rFonts w:ascii="Calibri" w:cs="Calibri" w:eastAsia="Calibri" w:hAnsi="Calibri"/>
          <w:sz w:val="21"/>
          <w:szCs w:val="21"/>
        </w:rPr>
        <w:t xml:space="preserve">11.5	</w:t>
      </w:r>
      <w:r>
        <w:rPr>
          <w:rFonts w:ascii="Calibri" w:cs="Calibri" w:eastAsia="Calibri" w:hAnsi="Calibri"/>
          <w:b/>
          <w:bCs/>
          <w:sz w:val="21"/>
          <w:szCs w:val="21"/>
        </w:rPr>
        <w:t xml:space="preserve">Severability, counterparts and electronic execution.</w:t>
      </w:r>
      <w:r>
        <w:rPr>
          <w:rFonts w:ascii="Calibri" w:cs="Calibri" w:eastAsia="Calibri" w:hAnsi="Calibri"/>
          <w:sz w:val="21"/>
          <w:szCs w:val="21"/>
        </w:rPr>
        <w:t xml:space="preserve"> If any provision is held invalid it shall be severed and the remainder shall continue. This Agreement may be executed in counterparts and by electronic signature under the Information Technology Act, 2000.</w:t>
      </w:r>
    </w:p>
    <w:p>
      <w:pPr>
        <w:spacing w:after="120" w:before="60" w:line="276"/>
        <w:ind w:left="720" w:hanging="720"/>
        <w:jc w:val="both"/>
      </w:pPr>
      <w:r>
        <w:rPr>
          <w:rFonts w:ascii="Calibri" w:cs="Calibri" w:eastAsia="Calibri" w:hAnsi="Calibri"/>
          <w:sz w:val="21"/>
          <w:szCs w:val="21"/>
        </w:rPr>
        <w:t xml:space="preserve">11.6	</w:t>
      </w:r>
      <w:r>
        <w:rPr>
          <w:rFonts w:ascii="Calibri" w:cs="Calibri" w:eastAsia="Calibri" w:hAnsi="Calibri"/>
          <w:b/>
          <w:bCs/>
          <w:sz w:val="21"/>
          <w:szCs w:val="21"/>
        </w:rPr>
        <w:t xml:space="preserve">Specific performance.</w:t>
      </w:r>
      <w:r>
        <w:rPr>
          <w:rFonts w:ascii="Calibri" w:cs="Calibri" w:eastAsia="Calibri" w:hAnsi="Calibri"/>
          <w:sz w:val="21"/>
          <w:szCs w:val="21"/>
        </w:rPr>
        <w:t xml:space="preserve"> Damages may not be an adequate remedy for breach of Clause 3, and the Investor may seek specific performance and injunctive relief, including under the Specific Relief Act, 1963.</w:t>
      </w:r>
    </w:p>
    <w:p>
      <w:pPr>
        <w:spacing w:after="120" w:before="60" w:line="276"/>
        <w:ind w:left="720" w:hanging="720"/>
        <w:jc w:val="both"/>
      </w:pPr>
      <w:r>
        <w:rPr>
          <w:rFonts w:ascii="Calibri" w:cs="Calibri" w:eastAsia="Calibri" w:hAnsi="Calibri"/>
          <w:sz w:val="21"/>
          <w:szCs w:val="21"/>
        </w:rPr>
        <w:t xml:space="preserve">11.7	</w:t>
      </w:r>
      <w:r>
        <w:rPr>
          <w:rFonts w:ascii="Calibri" w:cs="Calibri" w:eastAsia="Calibri" w:hAnsi="Calibri"/>
          <w:b/>
          <w:bCs/>
          <w:sz w:val="21"/>
          <w:szCs w:val="21"/>
        </w:rPr>
        <w:t xml:space="preserve">Governing law and disputes.</w:t>
      </w:r>
      <w:r>
        <w:rPr>
          <w:rFonts w:ascii="Calibri" w:cs="Calibri" w:eastAsia="Calibri" w:hAnsi="Calibri"/>
          <w:sz w:val="21"/>
          <w:szCs w:val="21"/>
        </w:rPr>
        <w:t xml:space="preserve"> This Agreement is governed by the laws of India. Any dispute shall be referred to and finally resolved by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in the English language.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for interim relief.</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1]</w:t>
            </w:r>
            <w:r>
              <w:rPr>
                <w:rFonts w:ascii="Calibri" w:cs="Calibri" w:eastAsia="Calibri" w:hAnsi="Calibri"/>
                <w:sz w:val="21"/>
                <w:szCs w:val="21"/>
              </w:rPr>
              <w:t xml:space="preserve"> (Clause 9 only)</w:t>
            </w:r>
          </w:p>
          <w:p>
            <w:pPr>
              <w:spacing w:after="90" w:line="264"/>
            </w:pPr>
          </w:p>
          <w:p>
            <w:pPr>
              <w:spacing w:after="90" w:line="264"/>
            </w:pPr>
            <w:r>
              <w:rPr>
                <w:rFonts w:ascii="Calibri" w:cs="Calibri" w:eastAsia="Calibri" w:hAnsi="Calibri"/>
                <w:sz w:val="21"/>
                <w:szCs w:val="21"/>
              </w:rPr>
              <w:t xml:space="preserve">_______________________________</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2]</w:t>
            </w:r>
            <w:r>
              <w:rPr>
                <w:rFonts w:ascii="Calibri" w:cs="Calibri" w:eastAsia="Calibri" w:hAnsi="Calibri"/>
                <w:sz w:val="21"/>
                <w:szCs w:val="21"/>
              </w:rPr>
              <w:t xml:space="preserve"> (Clause 9 only)</w:t>
            </w:r>
          </w:p>
          <w:p>
            <w:pPr>
              <w:spacing w:after="90" w:line="264"/>
            </w:pPr>
          </w:p>
          <w:p>
            <w:pPr>
              <w:spacing w:after="90" w:line="264"/>
            </w:pPr>
            <w:r>
              <w:rPr>
                <w:rFonts w:ascii="Calibri" w:cs="Calibri" w:eastAsia="Calibri" w:hAnsi="Calibri"/>
                <w:sz w:val="21"/>
                <w:szCs w:val="21"/>
              </w:rPr>
              <w:t xml:space="preserve">_______________________________</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Form of Convertible Note Certificate</w:t>
      </w:r>
    </w:p>
    <w:p>
      <w:pPr>
        <w:spacing w:after="10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  DPIIT Recognition No.: </w:t>
      </w:r>
      <w:r>
        <w:rPr>
          <w:rFonts w:ascii="Calibri" w:cs="Calibri" w:eastAsia="Calibri" w:hAnsi="Calibri"/>
          <w:b/>
          <w:bCs/>
          <w:sz w:val="21"/>
          <w:szCs w:val="21"/>
        </w:rPr>
        <w:t xml:space="preserve">[NUMBER]</w:t>
      </w:r>
    </w:p>
    <w:p>
      <w:pPr>
        <w:spacing w:after="140" w:before="0" w:line="276"/>
        <w:jc w:val="both"/>
      </w:pPr>
      <w:r>
        <w:rPr>
          <w:rFonts w:ascii="Calibri" w:cs="Calibri" w:eastAsia="Calibri" w:hAnsi="Calibri"/>
          <w:b/>
          <w:bCs/>
          <w:sz w:val="21"/>
          <w:szCs w:val="21"/>
        </w:rPr>
        <w:t xml:space="preserve">CONVERTIBLE NOTE CERTIFICATE No. </w:t>
      </w:r>
      <w:r>
        <w:rPr>
          <w:rFonts w:ascii="Calibri" w:cs="Calibri" w:eastAsia="Calibri" w:hAnsi="Calibri"/>
          <w:b/>
          <w:bCs/>
          <w:sz w:val="21"/>
          <w:szCs w:val="21"/>
        </w:rPr>
        <w:t xml:space="preserve">[NUMBER]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Holder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[INVESTOR 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of the Holder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PAN of the Holder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Principal Amount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(Rupees </w:t>
            </w:r>
            <w:r>
              <w:rPr>
                <w:rFonts w:ascii="Calibri" w:cs="Calibri" w:eastAsia="Calibri" w:hAnsi="Calibri"/>
                <w:b/>
                <w:bCs/>
                <w:sz w:val="19"/>
                <w:szCs w:val="19"/>
              </w:rPr>
              <w:t xml:space="preserve">[IN WORDS]</w:t>
            </w:r>
            <w:r>
              <w:rPr>
                <w:rFonts w:ascii="Calibri" w:cs="Calibri" w:eastAsia="Calibri" w:hAnsi="Calibri"/>
                <w:sz w:val="19"/>
                <w:szCs w:val="19"/>
              </w:rPr>
              <w:t xml:space="preserve"> only)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Maturity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rate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[RATE]</w:t>
            </w:r>
            <w:r>
              <w:rPr>
                <w:rFonts w:ascii="Calibri" w:cs="Calibri" w:eastAsia="Calibri" w:hAnsi="Calibri"/>
                <w:sz w:val="19"/>
                <w:szCs w:val="19"/>
              </w:rPr>
              <w:t xml:space="preserve"> per cent per annum, simple, accruing</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Cap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Discount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per cent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Qualified Financing threshold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 resolution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spacing w:after="200" w:before="0" w:line="276"/>
        <w:jc w:val="both"/>
      </w:pPr>
      <w:r>
        <w:rPr>
          <w:rFonts w:ascii="Calibri" w:cs="Calibri" w:eastAsia="Calibri" w:hAnsi="Calibri"/>
          <w:sz w:val="21"/>
          <w:szCs w:val="21"/>
        </w:rPr>
        <w:t xml:space="preserve">This certificate evidences a convertible note issued under and subject to the Convertible Note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between the Company and the Holder, the terms of which are incorporated by reference. This note is unsecured, is not transferable except in accordance with that Agreement, and shall convert into or be repaid within the period stated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tc>
      </w:tr>
    </w:tbl>
    <w:p>
      <w:pPr>
        <w:spacing w:after="160"/>
      </w:pPr>
    </w:p>
    <w:p>
      <w:pPr>
        <w:spacing w:after="140" w:before="0" w:line="276"/>
        <w:jc w:val="both"/>
      </w:pPr>
      <w:r>
        <w:rPr>
          <w:rFonts w:ascii="Calibri" w:cs="Calibri" w:eastAsia="Calibri" w:hAnsi="Calibri"/>
          <w:i/>
          <w:iCs/>
          <w:sz w:val="21"/>
          <w:szCs w:val="21"/>
        </w:rPr>
        <w:t xml:space="preserve">Affix the common seal if the articles so require. Stamp the certificate in accordance with the applicable stamp legislation.</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Bank Account and Notices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name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number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and branch</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IFSC / SWIFT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Authorised dealer bank (for Form CN)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AND BRANCH]</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notices — 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notices — email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notices — address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notices — email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Capitalisation and Founders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1349"/>
        <w:gridCol w:w="1734"/>
        <w:gridCol w:w="1734"/>
        <w:gridCol w:w="1737"/>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Shareholder</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(as issued)</w:t>
            </w:r>
          </w:p>
        </w:tc>
        <w:tc>
          <w:tcPr>
            <w:tcW w:type="dxa" w:w="173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(fully diluted)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[EXISTING INVESTOR]</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ESOP Pool — granted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ESOP Pool — unallocated</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349"/>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r>
    </w:tbl>
    <w:p>
      <w:pPr>
        <w:spacing w:after="140"/>
      </w:pPr>
    </w:p>
    <w:p>
      <w:pPr>
        <w:spacing w:after="80" w:before="0" w:line="276"/>
        <w:jc w:val="both"/>
      </w:pPr>
      <w:r>
        <w:rPr>
          <w:rFonts w:ascii="Calibri" w:cs="Calibri" w:eastAsia="Calibri" w:hAnsi="Calibri"/>
          <w:b/>
          <w:bCs/>
          <w:sz w:val="21"/>
          <w:szCs w:val="21"/>
        </w:rPr>
        <w:t xml:space="preserve">Other convertible instruments outstanding: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1542"/>
        <w:gridCol w:w="1638"/>
        <w:gridCol w:w="1638"/>
        <w:gridCol w:w="1156"/>
        <w:gridCol w:w="1544"/>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Holder</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Instrument</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Principal (₹)</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Cap (₹)</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Discount</w:t>
            </w:r>
          </w:p>
        </w:tc>
        <w:tc>
          <w:tcPr>
            <w:tcW w:type="dxa" w:w="154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Maturity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 / CCPS]</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 / CCPS]</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Three conditions, all mandatory</w:t>
      </w:r>
    </w:p>
    <w:p>
      <w:pPr>
        <w:spacing w:after="60" w:line="264"/>
        <w:jc w:val="both"/>
      </w:pPr>
      <w:r>
        <w:rPr>
          <w:rFonts w:ascii="Calibri" w:cs="Calibri" w:eastAsia="Calibri" w:hAnsi="Calibri"/>
          <w:sz w:val="19"/>
          <w:szCs w:val="19"/>
        </w:rPr>
        <w:t xml:space="preserve">The note is exempt from the deposit rules only if the issuer is a startup recognised by the Department for Promotion of Industry and Internal Trade, the amount received from a person in a single tranche is not less than ₹ 25,00,000, and the note converts into equity shares or is repaid within the maximum permitted period. Fail any one and the money is a deposit, which brings the whole of the deposit regime with it. Confirm the recognition is subsisting on the issue date, not merely that it was once granted.</w:t>
      </w:r>
    </w:p>
    <w:p>
      <w:pPr>
        <w:keepNext/>
        <w:spacing w:after="40" w:before="140"/>
      </w:pPr>
      <w:r>
        <w:rPr>
          <w:rFonts w:ascii="Calibri" w:cs="Calibri" w:eastAsia="Calibri" w:hAnsi="Calibri"/>
          <w:b/>
          <w:bCs/>
          <w:color w:val="14161B"/>
          <w:sz w:val="20"/>
          <w:szCs w:val="20"/>
        </w:rPr>
        <w:t xml:space="preserve">The maximum period was extended</w:t>
      </w:r>
    </w:p>
    <w:p>
      <w:pPr>
        <w:spacing w:after="60" w:line="264"/>
        <w:jc w:val="both"/>
      </w:pPr>
      <w:r>
        <w:rPr>
          <w:rFonts w:ascii="Calibri" w:cs="Calibri" w:eastAsia="Calibri" w:hAnsi="Calibri"/>
          <w:sz w:val="19"/>
          <w:szCs w:val="19"/>
        </w:rPr>
        <w:t xml:space="preserve">The permitted period was originally five years and has been extended to ten. A significant amount of secondary commentary still states five years. Check the current text of the Companies (Acceptance of Deposits) Rules, 2014 and, where a non-resident is investing, the exchange control rules, on the date of issue rather than relying on an article. Clause 1.1 is drafted to take the number from the definition so that a change is a one-line edit.</w:t>
      </w:r>
    </w:p>
    <w:p>
      <w:pPr>
        <w:keepNext/>
        <w:spacing w:after="40" w:before="140"/>
      </w:pPr>
      <w:r>
        <w:rPr>
          <w:rFonts w:ascii="Calibri" w:cs="Calibri" w:eastAsia="Calibri" w:hAnsi="Calibri"/>
          <w:b/>
          <w:bCs/>
          <w:color w:val="14161B"/>
          <w:sz w:val="20"/>
          <w:szCs w:val="20"/>
        </w:rPr>
        <w:t xml:space="preserve">Non-resident investors — the extra layer</w:t>
      </w:r>
    </w:p>
    <w:p>
      <w:pPr>
        <w:spacing w:after="60" w:line="264"/>
        <w:jc w:val="both"/>
      </w:pPr>
      <w:r>
        <w:rPr>
          <w:rFonts w:ascii="Calibri" w:cs="Calibri" w:eastAsia="Calibri" w:hAnsi="Calibri"/>
          <w:sz w:val="19"/>
          <w:szCs w:val="19"/>
        </w:rPr>
        <w:t xml:space="preserve">Where the Investor is a person resident outside India, the additional conditions are that the Company operates in a sector where foreign investment is permitted under the automatic route, that the minimum of ₹ 25 lakh per tranche is met, that Form CN is filed with the authorised dealer bank within 30 days of issue, and that conversion complies with the pricing floor with Form FC-GPR filed within 30 days of allotment. A note left unconverted and unrepaid past the permitted period is a contravention requiring compounding, with the associated cost and delay.</w:t>
      </w:r>
    </w:p>
    <w:p>
      <w:pPr>
        <w:keepNext/>
        <w:spacing w:after="40" w:before="140"/>
      </w:pPr>
      <w:r>
        <w:rPr>
          <w:rFonts w:ascii="Calibri" w:cs="Calibri" w:eastAsia="Calibri" w:hAnsi="Calibri"/>
          <w:b/>
          <w:bCs/>
          <w:color w:val="14161B"/>
          <w:sz w:val="20"/>
          <w:szCs w:val="20"/>
        </w:rPr>
        <w:t xml:space="preserve">The pricing floor is the structural trap</w:t>
      </w:r>
    </w:p>
    <w:p>
      <w:pPr>
        <w:spacing w:after="60" w:line="264"/>
        <w:jc w:val="both"/>
      </w:pPr>
      <w:r>
        <w:rPr>
          <w:rFonts w:ascii="Calibri" w:cs="Calibri" w:eastAsia="Calibri" w:hAnsi="Calibri"/>
          <w:sz w:val="19"/>
          <w:szCs w:val="19"/>
        </w:rPr>
        <w:t xml:space="preserve">A valuation cap set attractively low can produce a conversion price below the fair market value certified at the time of conversion. For a resident investor that is not a problem. For a non-resident it means the conversion cannot lawfully occur at the agreed price. Clause 3.6 confronts this rather than hiding it. Raise it with counsel when the cap is being negotiated, not when the next round is closing.</w:t>
      </w:r>
    </w:p>
    <w:p>
      <w:pPr>
        <w:keepNext/>
        <w:spacing w:after="40" w:before="140"/>
      </w:pPr>
      <w:r>
        <w:rPr>
          <w:rFonts w:ascii="Calibri" w:cs="Calibri" w:eastAsia="Calibri" w:hAnsi="Calibri"/>
          <w:b/>
          <w:bCs/>
          <w:color w:val="14161B"/>
          <w:sz w:val="20"/>
          <w:szCs w:val="20"/>
        </w:rPr>
        <w:t xml:space="preserve">Face value floor</w:t>
      </w:r>
    </w:p>
    <w:p>
      <w:pPr>
        <w:spacing w:after="60" w:line="264"/>
        <w:jc w:val="both"/>
      </w:pPr>
      <w:r>
        <w:rPr>
          <w:rFonts w:ascii="Calibri" w:cs="Calibri" w:eastAsia="Calibri" w:hAnsi="Calibri"/>
          <w:sz w:val="19"/>
          <w:szCs w:val="19"/>
        </w:rPr>
        <w:t xml:space="preserve">Shares cannot be issued below face value. A company with ₹ 10 shares and an aggressive cap can generate a formula price below ₹ 10. Incorporating with ₹ 1 shares removes the problem at no cost. Clause 3.5 provides a fallback but a fallback is not a solution.</w:t>
      </w:r>
    </w:p>
    <w:p>
      <w:pPr>
        <w:keepNext/>
        <w:spacing w:after="40" w:before="140"/>
      </w:pPr>
      <w:r>
        <w:rPr>
          <w:rFonts w:ascii="Calibri" w:cs="Calibri" w:eastAsia="Calibri" w:hAnsi="Calibri"/>
          <w:b/>
          <w:bCs/>
          <w:color w:val="14161B"/>
          <w:sz w:val="20"/>
          <w:szCs w:val="20"/>
        </w:rPr>
        <w:t xml:space="preserve">Automatic conversion at maturity</w:t>
      </w:r>
    </w:p>
    <w:p>
      <w:pPr>
        <w:spacing w:after="60" w:line="264"/>
        <w:jc w:val="both"/>
      </w:pPr>
      <w:r>
        <w:rPr>
          <w:rFonts w:ascii="Calibri" w:cs="Calibri" w:eastAsia="Calibri" w:hAnsi="Calibri"/>
          <w:sz w:val="19"/>
          <w:szCs w:val="19"/>
        </w:rPr>
        <w:t xml:space="preserve">Clause 3.4 defaults to conversion if the Investor says nothing. This is deliberate. A note that simply matures unconverted leaves an early-stage company with a repayment obligation it usually cannot meet, and, for a non-resident holder, a regulatory contravention. Investors sometimes want repayment as the default; explain why that is worse for both sides than an automatic conversion with an election to demand repayment.</w:t>
      </w:r>
    </w:p>
    <w:p>
      <w:pPr>
        <w:keepNext/>
        <w:spacing w:after="40" w:before="140"/>
      </w:pPr>
      <w:r>
        <w:rPr>
          <w:rFonts w:ascii="Calibri" w:cs="Calibri" w:eastAsia="Calibri" w:hAnsi="Calibri"/>
          <w:b/>
          <w:bCs/>
          <w:color w:val="14161B"/>
          <w:sz w:val="20"/>
          <w:szCs w:val="20"/>
        </w:rPr>
        <w:t xml:space="preserve">Interest and withholding</w:t>
      </w:r>
    </w:p>
    <w:p>
      <w:pPr>
        <w:spacing w:after="60" w:line="264"/>
        <w:jc w:val="both"/>
      </w:pPr>
      <w:r>
        <w:rPr>
          <w:rFonts w:ascii="Calibri" w:cs="Calibri" w:eastAsia="Calibri" w:hAnsi="Calibri"/>
          <w:sz w:val="19"/>
          <w:szCs w:val="19"/>
        </w:rPr>
        <w:t xml:space="preserve">Interest paid or credited to the noteholder is taxable in the holder’s hands and attracts deduction of tax at source. The withholding provisions were consolidated into a single section of the Income-tax Act, 2025 with effect from 1 April 2026; use the current section number on the challan and in any certificate. For a non-resident holder, treaty relief requires a tax residency certificate and the prescribed declaration. Many companies set the rate at nil precisely to avoid all of this.</w:t>
      </w:r>
    </w:p>
    <w:p>
      <w:pPr>
        <w:keepNext/>
        <w:spacing w:after="40" w:before="140"/>
      </w:pPr>
      <w:r>
        <w:rPr>
          <w:rFonts w:ascii="Calibri" w:cs="Calibri" w:eastAsia="Calibri" w:hAnsi="Calibri"/>
          <w:b/>
          <w:bCs/>
          <w:color w:val="14161B"/>
          <w:sz w:val="20"/>
          <w:szCs w:val="20"/>
        </w:rPr>
        <w:t xml:space="preserve">Angel tax is no longer a consideration</w:t>
      </w:r>
    </w:p>
    <w:p>
      <w:pPr>
        <w:spacing w:after="60" w:line="264"/>
        <w:jc w:val="both"/>
      </w:pPr>
      <w:r>
        <w:rPr>
          <w:rFonts w:ascii="Calibri" w:cs="Calibri" w:eastAsia="Calibri" w:hAnsi="Calibri"/>
          <w:sz w:val="19"/>
          <w:szCs w:val="19"/>
        </w:rPr>
        <w:t xml:space="preserve">Section 56(2)(viib) of the Income-tax Act, 1961 was omitted with effect from assessment year 2025-26 and has not been re-enacted. Conversion at a discount to the then fair market value does not create a charge on the Company. Keep the valuation record anyway: it is required for company law and, for a non-resident, for exchange control.</w:t>
      </w:r>
    </w:p>
    <w:p>
      <w:pPr>
        <w:keepNext/>
        <w:spacing w:after="40" w:before="140"/>
      </w:pPr>
      <w:r>
        <w:rPr>
          <w:rFonts w:ascii="Calibri" w:cs="Calibri" w:eastAsia="Calibri" w:hAnsi="Calibri"/>
          <w:b/>
          <w:bCs/>
          <w:color w:val="14161B"/>
          <w:sz w:val="20"/>
          <w:szCs w:val="20"/>
        </w:rPr>
        <w:t xml:space="preserve">Cap or discount, not both</w:t>
      </w:r>
    </w:p>
    <w:p>
      <w:pPr>
        <w:spacing w:after="60" w:line="264"/>
        <w:jc w:val="both"/>
      </w:pPr>
      <w:r>
        <w:rPr>
          <w:rFonts w:ascii="Calibri" w:cs="Calibri" w:eastAsia="Calibri" w:hAnsi="Calibri"/>
          <w:sz w:val="19"/>
          <w:szCs w:val="19"/>
        </w:rPr>
        <w:t xml:space="preserve">The Investor converts at the lower of the two prices. Investors occasionally propose applying the discount to the cap price. That is a materially better deal for them and should be a conscious concession, not a drafting accident.</w:t>
      </w:r>
    </w:p>
    <w:p>
      <w:pPr>
        <w:keepNext/>
        <w:spacing w:after="40" w:before="140"/>
      </w:pPr>
      <w:r>
        <w:rPr>
          <w:rFonts w:ascii="Calibri" w:cs="Calibri" w:eastAsia="Calibri" w:hAnsi="Calibri"/>
          <w:b/>
          <w:bCs/>
          <w:color w:val="14161B"/>
          <w:sz w:val="20"/>
          <w:szCs w:val="20"/>
        </w:rPr>
        <w:t xml:space="preserve">What goes in the denominator</w:t>
      </w:r>
    </w:p>
    <w:p>
      <w:pPr>
        <w:spacing w:after="60" w:line="264"/>
        <w:jc w:val="both"/>
      </w:pPr>
      <w:r>
        <w:rPr>
          <w:rFonts w:ascii="Calibri" w:cs="Calibri" w:eastAsia="Calibri" w:hAnsi="Calibri"/>
          <w:sz w:val="19"/>
          <w:szCs w:val="19"/>
        </w:rPr>
        <w:t xml:space="preserve">Whether the unallocated option pool and other outstanding notes count in the fully diluted figure when applying the cap can change the conversion price by a third. Clause 1.1 defines it explicitly. If the definition is negotiated, run the numbers both ways before agreeing.</w:t>
      </w:r>
    </w:p>
    <w:p>
      <w:pPr>
        <w:keepNext/>
        <w:spacing w:after="40" w:before="140"/>
      </w:pPr>
      <w:r>
        <w:rPr>
          <w:rFonts w:ascii="Calibri" w:cs="Calibri" w:eastAsia="Calibri" w:hAnsi="Calibri"/>
          <w:b/>
          <w:bCs/>
          <w:color w:val="14161B"/>
          <w:sz w:val="20"/>
          <w:szCs w:val="20"/>
        </w:rPr>
        <w:t xml:space="preserve">Corporate approvals</w:t>
      </w:r>
    </w:p>
    <w:p>
      <w:pPr>
        <w:spacing w:after="60" w:line="264"/>
        <w:jc w:val="both"/>
      </w:pPr>
      <w:r>
        <w:rPr>
          <w:rFonts w:ascii="Calibri" w:cs="Calibri" w:eastAsia="Calibri" w:hAnsi="Calibri"/>
          <w:sz w:val="19"/>
          <w:szCs w:val="19"/>
        </w:rPr>
        <w:t xml:space="preserve">A convertible note is an offer of securities on a private placement basis and a borrowing that may result in an issue of shares. Section 62(3) of the Companies Act, 2013 requires a special resolution where a loan may be converted into shares, and Form MGT-14 follows. Do not treat the note as a simple loan approved by the board alone.</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The agreement and the note certificate attract State-specific duty; the Conversion Shares attract duty on issue under the Indian Stamp Act, 1899 as amended. Duty on a bond or on an agreement differs by State — identify the right article before executing, since an understamped instrument is inadmissible until duty and penalty are paid.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Deposit rules, exchange control reporting and DPIIT recognition criteria all change — verify before issue and have the instrument settled by counsel.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2026-08-21T12:53:53.345Z</dcterms:created>
  <dcterms:modified xsi:type="dcterms:W3CDTF">2026-08-21T12:53:53.345Z</dcterms:modified>
</cp:coreProperties>
</file>

<file path=docProps/custom.xml><?xml version="1.0" encoding="utf-8"?>
<Properties xmlns="http://schemas.openxmlformats.org/officeDocument/2006/custom-properties" xmlns:vt="http://schemas.openxmlformats.org/officeDocument/2006/docPropsVTypes"/>
</file>