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CONSULTANCY AGREEMENT</w:t>
      </w:r>
    </w:p>
    <w:p>
      <w:pPr>
        <w:spacing w:after="260"/>
        <w:jc w:val="center"/>
      </w:pPr>
      <w:r>
        <w:rPr>
          <w:rFonts w:ascii="Calibri" w:cs="Calibri" w:eastAsia="Calibri" w:hAnsi="Calibri"/>
          <w:i/>
          <w:iCs/>
          <w:color w:val="6E7480"/>
          <w:sz w:val="19"/>
          <w:szCs w:val="19"/>
        </w:rPr>
        <w:t xml:space="preserve">Engagement of an independent consultant — not a contract of employment</w:t>
      </w:r>
    </w:p>
    <w:p>
      <w:pPr>
        <w:spacing w:after="180" w:before="0" w:line="276"/>
        <w:jc w:val="both"/>
      </w:pPr>
      <w:r>
        <w:rPr>
          <w:rFonts w:ascii="Calibri" w:cs="Calibri" w:eastAsia="Calibri" w:hAnsi="Calibri"/>
          <w:i/>
          <w:iCs/>
          <w:color w:val="6E7480"/>
          <w:sz w:val="21"/>
          <w:szCs w:val="21"/>
        </w:rPr>
        <w:t xml:space="preserve">The label on the document does not decide the relationship. A consultant who works fixed hours under direction, using the company’s equipment, integrated into its teams, may be an employee in substance — with statutory consequences that follow automatically, whatever the agreement says.</w:t>
      </w:r>
    </w:p>
    <w:p>
      <w:pPr>
        <w:spacing w:after="160" w:before="0" w:line="276"/>
        <w:jc w:val="both"/>
      </w:pPr>
      <w:r>
        <w:rPr>
          <w:rFonts w:ascii="Calibri" w:cs="Calibri" w:eastAsia="Calibri" w:hAnsi="Calibri"/>
          <w:sz w:val="21"/>
          <w:szCs w:val="21"/>
        </w:rPr>
        <w:t xml:space="preserve">This Consultancy Agreement (this "</w:t>
      </w:r>
      <w:r>
        <w:rPr>
          <w:rFonts w:ascii="Calibri" w:cs="Calibri" w:eastAsia="Calibri" w:hAnsi="Calibri"/>
          <w:b/>
          <w:bCs/>
          <w:sz w:val="21"/>
          <w:szCs w:val="21"/>
        </w:rPr>
        <w:t xml:space="preserve">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 OF EXECUTION]</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Effective 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BY AND BETWEEN</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of the ONE PART;</w:t>
      </w:r>
    </w:p>
    <w:p>
      <w:pPr>
        <w:spacing w:after="100" w:before="0" w:line="276"/>
        <w:jc w:val="both"/>
      </w:pPr>
      <w:r>
        <w:rPr>
          <w:rFonts w:ascii="Calibri" w:cs="Calibri" w:eastAsia="Calibri" w:hAnsi="Calibri"/>
          <w:b/>
          <w:bCs/>
          <w:sz w:val="21"/>
          <w:szCs w:val="21"/>
        </w:rPr>
        <w:t xml:space="preserve">AND</w:t>
      </w:r>
    </w:p>
    <w:p>
      <w:pPr>
        <w:spacing w:after="160" w:before="0" w:line="276"/>
        <w:jc w:val="both"/>
      </w:pPr>
      <w:r>
        <w:rPr>
          <w:rFonts w:ascii="Calibri" w:cs="Calibri" w:eastAsia="Calibri" w:hAnsi="Calibri"/>
          <w:b/>
          <w:bCs/>
          <w:sz w:val="21"/>
          <w:szCs w:val="21"/>
        </w:rPr>
        <w:t xml:space="preserve">[CONSULTANT NAME]</w:t>
      </w:r>
      <w:r>
        <w:rPr>
          <w:rFonts w:ascii="Calibri" w:cs="Calibri" w:eastAsia="Calibri" w:hAnsi="Calibri"/>
          <w:sz w:val="21"/>
          <w:szCs w:val="21"/>
        </w:rPr>
        <w:t xml:space="preserve">, </w:t>
      </w:r>
      <w:r>
        <w:rPr>
          <w:rFonts w:ascii="Calibri" w:cs="Calibri" w:eastAsia="Calibri" w:hAnsi="Calibri"/>
          <w:b/>
          <w:bCs/>
          <w:sz w:val="21"/>
          <w:szCs w:val="21"/>
        </w:rPr>
        <w:t xml:space="preserve">[CONSTITUTION — an individual holding PAN ______ / a firm / a company bearing CIN ______]</w:t>
      </w:r>
      <w:r>
        <w:rPr>
          <w:rFonts w:ascii="Calibri" w:cs="Calibri" w:eastAsia="Calibri" w:hAnsi="Calibri"/>
          <w:sz w:val="21"/>
          <w:szCs w:val="21"/>
        </w:rPr>
        <w:t xml:space="preserve">, residing at or having its principal place of business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Consultant</w:t>
      </w:r>
      <w:r>
        <w:rPr>
          <w:rFonts w:ascii="Calibri" w:cs="Calibri" w:eastAsia="Calibri" w:hAnsi="Calibri"/>
          <w:sz w:val="21"/>
          <w:szCs w:val="21"/>
        </w:rPr>
        <w:t xml:space="preserve">") of the OTHER PART.</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Company requires specialist professional services in the field of </w:t>
      </w:r>
      <w:r>
        <w:rPr>
          <w:rFonts w:ascii="Calibri" w:cs="Calibri" w:eastAsia="Calibri" w:hAnsi="Calibri"/>
          <w:b/>
          <w:bCs/>
          <w:sz w:val="21"/>
          <w:szCs w:val="21"/>
        </w:rPr>
        <w:t xml:space="preserve">[FIELD OF EXPERTISE]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Consultant carries on an independent business or profession and represents that it possesses the qualifications, experience, licences and resources required to provide such services.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Company wishes to engage the Consultant as an independent contractor, and not as an employee, on the terms set out below.</w:t>
      </w:r>
    </w:p>
    <w:p>
      <w:pPr>
        <w:spacing w:after="120" w:before="120" w:line="276"/>
        <w:jc w:val="both"/>
      </w:pPr>
      <w:r>
        <w:rPr>
          <w:rFonts w:ascii="Calibri" w:cs="Calibri" w:eastAsia="Calibri" w:hAnsi="Calibri"/>
          <w:sz w:val="21"/>
          <w:szCs w:val="21"/>
        </w:rPr>
        <w:t xml:space="preserve">NOW THEREFORE the Parties agree as follows:</w:t>
      </w:r>
    </w:p>
    <w:p>
      <w:pPr>
        <w:keepNext/>
        <w:spacing w:after="120" w:before="280"/>
        <w:outlineLvl w:val="0"/>
      </w:pPr>
      <w:r>
        <w:rPr>
          <w:rFonts w:ascii="Calibri" w:cs="Calibri" w:eastAsia="Calibri" w:hAnsi="Calibri"/>
          <w:b/>
          <w:bCs/>
          <w:color w:val="14161B"/>
          <w:sz w:val="22"/>
          <w:szCs w:val="22"/>
        </w:rPr>
        <w:t xml:space="preserve">1. ENGAGEMENT AND SCOPE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engages the Consultant, and the Consultant accepts the engagement, to provide the services described in Schedule 1 (the "</w:t>
      </w:r>
      <w:r>
        <w:rPr>
          <w:rFonts w:ascii="Calibri" w:cs="Calibri" w:eastAsia="Calibri" w:hAnsi="Calibri"/>
          <w:b/>
          <w:bCs/>
          <w:sz w:val="21"/>
          <w:szCs w:val="21"/>
        </w:rPr>
        <w:t xml:space="preserve">Services</w:t>
      </w:r>
      <w:r>
        <w:rPr>
          <w:rFonts w:ascii="Calibri" w:cs="Calibri" w:eastAsia="Calibri" w:hAnsi="Calibri"/>
          <w:sz w:val="21"/>
          <w:szCs w:val="21"/>
        </w:rPr>
        <w:t xml:space="preserve">") on the terms of this Agreement.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Consultant shall perform the Services with the standard of skill, care and diligence reasonably expected of a competent professional in the Consultant’s field, and in accordance with applicable law, professional standards and the Company’s reasonable instructions as to the outcomes required.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Consultant shall devote such time and attention to the Services as is necessary for their proper performance, and shall meet the timelines and deliverable dates set out in Schedule 1.</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Consultant shall report to </w:t>
      </w:r>
      <w:r>
        <w:rPr>
          <w:rFonts w:ascii="Calibri" w:cs="Calibri" w:eastAsia="Calibri" w:hAnsi="Calibri"/>
          <w:b/>
          <w:bCs/>
          <w:sz w:val="21"/>
          <w:szCs w:val="21"/>
        </w:rPr>
        <w:t xml:space="preserve">[NAME AND DESIGNATION OF COMPANY CONTACT]</w:t>
      </w:r>
      <w:r>
        <w:rPr>
          <w:rFonts w:ascii="Calibri" w:cs="Calibri" w:eastAsia="Calibri" w:hAnsi="Calibri"/>
          <w:sz w:val="21"/>
          <w:szCs w:val="21"/>
        </w:rPr>
        <w:t xml:space="preserve"> and shall provide written progress reports </w:t>
      </w:r>
      <w:r>
        <w:rPr>
          <w:rFonts w:ascii="Calibri" w:cs="Calibri" w:eastAsia="Calibri" w:hAnsi="Calibri"/>
          <w:b/>
          <w:bCs/>
          <w:sz w:val="21"/>
          <w:szCs w:val="21"/>
        </w:rPr>
        <w:t xml:space="preserve">[FREQUENCY — e.g. fortnightly]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The Consultant shall not hold itself out as an employee, officer or agent of the Company, and shall not enter into any commitment on behalf of the Company or bind it in any manner, without the Company’s prior written authority.</w:t>
      </w:r>
    </w:p>
    <w:p>
      <w:pPr>
        <w:keepNext/>
        <w:spacing w:after="120" w:before="280"/>
        <w:outlineLvl w:val="0"/>
      </w:pPr>
      <w:r>
        <w:rPr>
          <w:rFonts w:ascii="Calibri" w:cs="Calibri" w:eastAsia="Calibri" w:hAnsi="Calibri"/>
          <w:b/>
          <w:bCs/>
          <w:color w:val="14161B"/>
          <w:sz w:val="22"/>
          <w:szCs w:val="22"/>
        </w:rPr>
        <w:t xml:space="preserve">2. STATUS OF THE CONSULTANT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Consultant is an independent contractor. Nothing in this Agreement creates a relationship of employer and employee, master and servant, partnership, joint venture or agency between the Parties.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Consultant acknowledges and agrees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Consultant is not entitled to salary, wages, bonus, gratuity, provident fund, employees’ state insurance, leave, medical benefit, notice pay, retrenchment compensation or any other benefit available to employees of the Company;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Consultant is responsible for its own income tax, goods and services tax, professional tax and any other statutory dues arising from the Consultancy Fee, and for its own insurance;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Consultant controls the manner and method by which the Services are performed, subject only to the requirement to achieve the agreed outcomes, and is free to determine its own working hours and place of work except where attendance at a particular place or time is intrinsic to a Service;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Consultant may provide services to other clients, subject to Clause 8 (Conflicts);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Consultant shall use its own equipment except where the Company provides access to its systems for security or data-protection reasons.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If any authority determines that the Consultant or any of its personnel is an employee or a worker of the Company, or that the Company is liable for any statutory contribution or benefit in respect of them, the Consultant shall indemnify the Company against all resulting liability, including tax, contributions, interest, penalties and reasonable legal costs.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Where the Consultant deploys its own personnel to perform the Services, the Consultant is solely responsible for their engagement, remuneration and statutory dues, including under the Code on Wages, 2019 and the Code on Social Security, 2020, and shall indemnify the Company against any claim by or in respect of them.</w:t>
      </w:r>
    </w:p>
    <w:p>
      <w:pPr>
        <w:keepNext/>
        <w:spacing w:after="120" w:before="280"/>
        <w:outlineLvl w:val="0"/>
      </w:pPr>
      <w:r>
        <w:rPr>
          <w:rFonts w:ascii="Calibri" w:cs="Calibri" w:eastAsia="Calibri" w:hAnsi="Calibri"/>
          <w:b/>
          <w:bCs/>
          <w:color w:val="14161B"/>
          <w:sz w:val="22"/>
          <w:szCs w:val="22"/>
        </w:rPr>
        <w:t xml:space="preserve">3. TERM</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This Agreement commences on the Effective Date and continues until </w:t>
      </w:r>
      <w:r>
        <w:rPr>
          <w:rFonts w:ascii="Calibri" w:cs="Calibri" w:eastAsia="Calibri" w:hAnsi="Calibri"/>
          <w:b/>
          <w:bCs/>
          <w:sz w:val="21"/>
          <w:szCs w:val="21"/>
        </w:rPr>
        <w:t xml:space="preserve">[END DATE]</w:t>
      </w:r>
      <w:r>
        <w:rPr>
          <w:rFonts w:ascii="Calibri" w:cs="Calibri" w:eastAsia="Calibri" w:hAnsi="Calibri"/>
          <w:sz w:val="21"/>
          <w:szCs w:val="21"/>
        </w:rPr>
        <w:t xml:space="preserve"> or until completion of the Services, whichever is earlier, unless terminated earlier under Clause 12.</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Agreement may be renewed only by written agreement signed by both Parties. There is no automatic renewal and no expectation of continued engagement.</w:t>
      </w:r>
    </w:p>
    <w:p>
      <w:pPr>
        <w:keepNext/>
        <w:spacing w:after="120" w:before="280"/>
        <w:outlineLvl w:val="0"/>
      </w:pPr>
      <w:r>
        <w:rPr>
          <w:rFonts w:ascii="Calibri" w:cs="Calibri" w:eastAsia="Calibri" w:hAnsi="Calibri"/>
          <w:b/>
          <w:bCs/>
          <w:color w:val="14161B"/>
          <w:sz w:val="22"/>
          <w:szCs w:val="22"/>
        </w:rPr>
        <w:t xml:space="preserve">4. FEES, INVOICING AND TAXES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shall pay the Consultant the fees set out in Schedule 2 (the "</w:t>
      </w:r>
      <w:r>
        <w:rPr>
          <w:rFonts w:ascii="Calibri" w:cs="Calibri" w:eastAsia="Calibri" w:hAnsi="Calibri"/>
          <w:b/>
          <w:bCs/>
          <w:sz w:val="21"/>
          <w:szCs w:val="21"/>
        </w:rPr>
        <w:t xml:space="preserve">Consultancy Fee</w:t>
      </w:r>
      <w:r>
        <w:rPr>
          <w:rFonts w:ascii="Calibri" w:cs="Calibri" w:eastAsia="Calibri" w:hAnsi="Calibri"/>
          <w:sz w:val="21"/>
          <w:szCs w:val="21"/>
        </w:rPr>
        <w:t xml:space="preserve">"). The Consultancy Fee is the entire consideration for the Services and for the rights assigned under Clause 6.</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Consultant shall invoice </w:t>
      </w:r>
      <w:r>
        <w:rPr>
          <w:rFonts w:ascii="Calibri" w:cs="Calibri" w:eastAsia="Calibri" w:hAnsi="Calibri"/>
          <w:b/>
          <w:bCs/>
          <w:sz w:val="21"/>
          <w:szCs w:val="21"/>
        </w:rPr>
        <w:t xml:space="preserve">[FREQUENCY — e.g. monthly in arrears / on achievement of each milestone]</w:t>
      </w:r>
      <w:r>
        <w:rPr>
          <w:rFonts w:ascii="Calibri" w:cs="Calibri" w:eastAsia="Calibri" w:hAnsi="Calibri"/>
          <w:sz w:val="21"/>
          <w:szCs w:val="21"/>
        </w:rPr>
        <w:t xml:space="preserve">. Each invoice shall specify the period or milestone covered, the Services performed, and, where the Consultant is registered under the goods and services tax legislation, all particulars required by Rule 46 of the Central Goods and Services Tax Rules, 2017.</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Company shall pay each correctly rendered and undisputed invoice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receipt.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Company shall deduct tax at source at the rate in force under Section 393 of the Income-tax Act, 2025, which with effect from 1 April 2026 consolidates the deduction provisions formerly contained in Sections 194C and 194J of the Income-tax Act, 1961. The Consultant shall furnish its Permanent Account Number; failing which tax shall be deducted at the higher rate prescribed. The Company shall issue the prescribed certificate of deduction within the time allowed.</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Consultancy Fee is exclusive of goods and services tax, which shall be charged where applicable and paid against a valid tax invoice. If the Consultant is not registered, it shall notify the Company, and the Parties shall determine whether tax is payable by the Company on a reverse-charge basis.</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Expenses are reimbursed only if pre-approved in writing, incurred wholly in performing the Services, charged at cost without mark-up and supported by original receipts. The Company’s travel and expenses policy applies.</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sz w:val="21"/>
          <w:szCs w:val="21"/>
        </w:rPr>
        <w:t xml:space="preserve">The Company may set off against any amount payable to the Consultant any amount owed by the Consultant to the Company.</w:t>
      </w:r>
    </w:p>
    <w:p>
      <w:pPr>
        <w:keepNext/>
        <w:spacing w:after="120" w:before="280"/>
        <w:outlineLvl w:val="0"/>
      </w:pPr>
      <w:r>
        <w:rPr>
          <w:rFonts w:ascii="Calibri" w:cs="Calibri" w:eastAsia="Calibri" w:hAnsi="Calibri"/>
          <w:b/>
          <w:bCs/>
          <w:color w:val="14161B"/>
          <w:sz w:val="22"/>
          <w:szCs w:val="22"/>
        </w:rPr>
        <w:t xml:space="preserve">5. CONFIDENTIALITY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Consultant shall keep confidential all information relating to the Company, its business, customers, employees, technology, finances and affairs that it receives or observes in connection with this Agreement, whether or not marked confidential ("</w:t>
      </w:r>
      <w:r>
        <w:rPr>
          <w:rFonts w:ascii="Calibri" w:cs="Calibri" w:eastAsia="Calibri" w:hAnsi="Calibri"/>
          <w:b/>
          <w:bCs/>
          <w:sz w:val="21"/>
          <w:szCs w:val="21"/>
        </w:rPr>
        <w:t xml:space="preserve">Confidential Information</w:t>
      </w:r>
      <w:r>
        <w:rPr>
          <w:rFonts w:ascii="Calibri" w:cs="Calibri" w:eastAsia="Calibri" w:hAnsi="Calibri"/>
          <w:sz w:val="21"/>
          <w:szCs w:val="21"/>
        </w:rPr>
        <w:t xml:space="preserve">"), shall use it only to perform the Services, and shall not disclose it to any person without the Company’s prior written consent.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obligation does not apply to information that is public other than through breach, was lawfully known to the Consultant free of restriction, is lawfully obtained from a third party, or is required to be disclosed by law or a regulator (in which case the Consultant shall give the Company prior notice where lawful and practicable).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Consultant shall not remove Confidential Information from the Company’s premises or systems except as necessary for the Services, shall store it securely, and shall not use personal email accounts, personal cloud storage or unmanaged devices for Company data.</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These obligations survive termination and continue for </w:t>
      </w:r>
      <w:r>
        <w:rPr>
          <w:rFonts w:ascii="Calibri" w:cs="Calibri" w:eastAsia="Calibri" w:hAnsi="Calibri"/>
          <w:b/>
          <w:bCs/>
          <w:sz w:val="21"/>
          <w:szCs w:val="21"/>
        </w:rPr>
        <w:t xml:space="preserve">[NUMBER]</w:t>
      </w:r>
      <w:r>
        <w:rPr>
          <w:rFonts w:ascii="Calibri" w:cs="Calibri" w:eastAsia="Calibri" w:hAnsi="Calibri"/>
          <w:sz w:val="21"/>
          <w:szCs w:val="21"/>
        </w:rPr>
        <w:t xml:space="preserve"> years, and indefinitely in respect of trade secrets and source code.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On termination the Consultant shall return or irretrievably delete all Confidential Information and Company property, including devices, access cards, credentials and documents, and shall certify compliance in writing.</w:t>
      </w:r>
    </w:p>
    <w:p>
      <w:pPr>
        <w:keepNext/>
        <w:spacing w:after="120" w:before="280"/>
        <w:outlineLvl w:val="0"/>
      </w:pPr>
      <w:r>
        <w:rPr>
          <w:rFonts w:ascii="Calibri" w:cs="Calibri" w:eastAsia="Calibri" w:hAnsi="Calibri"/>
          <w:b/>
          <w:bCs/>
          <w:color w:val="14161B"/>
          <w:sz w:val="22"/>
          <w:szCs w:val="22"/>
        </w:rPr>
        <w:t xml:space="preserve">6. INTELLECTUAL PROPERTY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All right, title and interest in any work, invention, design, software, report, document, data, method, brand element or other material created by the Consultant in the course of or arising from the Services ("</w:t>
      </w:r>
      <w:r>
        <w:rPr>
          <w:rFonts w:ascii="Calibri" w:cs="Calibri" w:eastAsia="Calibri" w:hAnsi="Calibri"/>
          <w:b/>
          <w:bCs/>
          <w:sz w:val="21"/>
          <w:szCs w:val="21"/>
        </w:rPr>
        <w:t xml:space="preserve">Work Product</w:t>
      </w:r>
      <w:r>
        <w:rPr>
          <w:rFonts w:ascii="Calibri" w:cs="Calibri" w:eastAsia="Calibri" w:hAnsi="Calibri"/>
          <w:sz w:val="21"/>
          <w:szCs w:val="21"/>
        </w:rPr>
        <w:t xml:space="preserve">") shall vest in the Company absolutely.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Consultant assigns to the Company, with effect from creation, all present and future intellectual property rights in the Work Product throughout the world for the full term of those rights and all renewals, revivals and extensions, free from all encumbrances. This assignment is in writing and signed for the purposes of Section 19 of the Copyright Act, 1957.</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To the extent permitted by law, the Consultant waives all moral rights in the Work Product under Section 57 of the Copyright Act, 1957, including the right to be identified as author and the right to object to derogatory treatment, and agrees not to assert them against the Company or its licensees.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Consultant shall, at the Company’s cost, execute all documents and do all acts reasonably required to vest, perfect, register, defend or enforce the Company’s rights in the Work Product, both during the term and afterwards.</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Consultant shall not incorporate into the Work Product any material owned by a third party, or any open-source software, without the Company’s prior written consent. Where such material is included with consent, the Consultant grants or procures a perpetual, irrevocable, worldwide, royalty-free licence to the Company to use it as part of the Work Product, and shall identify the material, its source and its licence terms in writing.</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Consultant shall not use the Company’s Confidential Information or Work Product for the benefit of any other client.</w:t>
      </w:r>
    </w:p>
    <w:p>
      <w:pPr>
        <w:keepNext/>
        <w:spacing w:after="120" w:before="280"/>
        <w:outlineLvl w:val="0"/>
      </w:pPr>
      <w:r>
        <w:rPr>
          <w:rFonts w:ascii="Calibri" w:cs="Calibri" w:eastAsia="Calibri" w:hAnsi="Calibri"/>
          <w:b/>
          <w:bCs/>
          <w:color w:val="14161B"/>
          <w:sz w:val="22"/>
          <w:szCs w:val="22"/>
        </w:rPr>
        <w:t xml:space="preserve">7. DATA PROTECTION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Where the Consultant processes personal data on behalf of the Company, the Company is the Data Fiduciary and the Consultant is the Data Processor for the purposes of the Digital Personal Data Protection Act, 2023.</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Consultant shall process personal data only on the Company’s documented instructions and only for the Services; shall apply reasonable security safeguards including access control and encryption in transit; shall not retain personal data beyond the term; shall not engage any sub-processor without prior written authorisation; and shall assist the Company in responding to requests from Data Principals and to the Data Protection Board of India.</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Consultant shall intimate the Company of any personal data breach without undue delay and in any event within twenty-four (24) hours of becoming aware of it.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Where the volume or sensitivity of processing warrants it, the Parties shall execute a separate data processing agreement in the form required by Section 8(2) of the Digital Personal Data Protection Act, 2023.</w:t>
      </w:r>
    </w:p>
    <w:p>
      <w:pPr>
        <w:keepNext/>
        <w:spacing w:after="120" w:before="280"/>
        <w:outlineLvl w:val="0"/>
      </w:pPr>
      <w:r>
        <w:rPr>
          <w:rFonts w:ascii="Calibri" w:cs="Calibri" w:eastAsia="Calibri" w:hAnsi="Calibri"/>
          <w:b/>
          <w:bCs/>
          <w:color w:val="14161B"/>
          <w:sz w:val="22"/>
          <w:szCs w:val="22"/>
        </w:rPr>
        <w:t xml:space="preserve">8. CONFLICTS OF INTEREST</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Consultant warrants that it is under no obligation to any third party that conflicts with, or restricts its ability to perform, this Agreement.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Consultant shall disclose in writing, before accepting any new engagement, any engagement that may reasonably give rise to a conflict of interest with the Company, and shall not accept such an engagement without the Company’s prior written consent, not to be unreasonably withheld.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Consultant shall not, during the term, provide services to </w:t>
      </w:r>
      <w:r>
        <w:rPr>
          <w:rFonts w:ascii="Calibri" w:cs="Calibri" w:eastAsia="Calibri" w:hAnsi="Calibri"/>
          <w:b/>
          <w:bCs/>
          <w:sz w:val="21"/>
          <w:szCs w:val="21"/>
        </w:rPr>
        <w:t xml:space="preserve">[NAMED COMPETITORS, IF ANY]</w:t>
      </w:r>
      <w:r>
        <w:rPr>
          <w:rFonts w:ascii="Calibri" w:cs="Calibri" w:eastAsia="Calibri" w:hAnsi="Calibri"/>
          <w:sz w:val="21"/>
          <w:szCs w:val="21"/>
        </w:rPr>
        <w:t xml:space="preserve"> in relation to the subject matter of the Services.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i/>
          <w:iCs/>
          <w:color w:val="6E7480"/>
          <w:sz w:val="21"/>
          <w:szCs w:val="21"/>
        </w:rPr>
        <w:t xml:space="preserve">Clause 8.3 operates only during the term of the engagement. No post-termination restraint on the Consultant’s ability to work is included, and none should be added: Section 27 of the Indian Contract Act, 1872 makes agreements in restraint of trade void, and such restraints are not enforced in India after a relationship ends.</w:t>
      </w:r>
    </w:p>
    <w:p>
      <w:pPr>
        <w:keepNext/>
        <w:spacing w:after="120" w:before="280"/>
        <w:outlineLvl w:val="0"/>
      </w:pPr>
      <w:r>
        <w:rPr>
          <w:rFonts w:ascii="Calibri" w:cs="Calibri" w:eastAsia="Calibri" w:hAnsi="Calibri"/>
          <w:b/>
          <w:bCs/>
          <w:color w:val="14161B"/>
          <w:sz w:val="22"/>
          <w:szCs w:val="22"/>
        </w:rPr>
        <w:t xml:space="preserve">9. NON-SOLICITATION</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During the term and for </w:t>
      </w:r>
      <w:r>
        <w:rPr>
          <w:rFonts w:ascii="Calibri" w:cs="Calibri" w:eastAsia="Calibri" w:hAnsi="Calibri"/>
          <w:b/>
          <w:bCs/>
          <w:sz w:val="21"/>
          <w:szCs w:val="21"/>
        </w:rPr>
        <w:t xml:space="preserve">[PERIOD — e.g. twelve (12) months]</w:t>
      </w:r>
      <w:r>
        <w:rPr>
          <w:rFonts w:ascii="Calibri" w:cs="Calibri" w:eastAsia="Calibri" w:hAnsi="Calibri"/>
          <w:sz w:val="21"/>
          <w:szCs w:val="21"/>
        </w:rPr>
        <w:t xml:space="preserve"> thereafter, the Consultant shall not directly or indirectly solicit or entice away any employee of the Company with whom it dealt in connection with the Services, or solicit any customer of the Company introduced to it in the course of the Services in relation to services competing with those provided by the Company.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This does not restrict responses to general recruitment advertising or approaches made independently by the individual or customer concerned.</w:t>
      </w:r>
    </w:p>
    <w:p>
      <w:pPr>
        <w:keepNext/>
        <w:spacing w:after="120" w:before="280"/>
        <w:outlineLvl w:val="0"/>
      </w:pPr>
      <w:r>
        <w:rPr>
          <w:rFonts w:ascii="Calibri" w:cs="Calibri" w:eastAsia="Calibri" w:hAnsi="Calibri"/>
          <w:b/>
          <w:bCs/>
          <w:color w:val="14161B"/>
          <w:sz w:val="22"/>
          <w:szCs w:val="22"/>
        </w:rPr>
        <w:t xml:space="preserve">10. WARRANTIES AND INDEMNITY</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Consultant warrants that: (a) it has the right, power and authority to enter into this Agreement; (b) it holds all qualifications, registrations and licences necessary to provide the Services; (c) the Services and Work Product will not infringe any third-party right; (d) it will comply with all applicable law, including anti-bribery law and the Prevention of Corruption Act, 1988; and (e) it has disclosed any regulatory action, professional disciplinary proceeding or criminal proceeding affecting its ability to perform.</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Consultant shall indemnify the Company against all losses, liabilities, costs and expenses arising from: (a) breach of Clauses 5, 6, 7 or 10.1; (b) any claim that the Work Product infringes third-party rights; (c) any claim by the Consultant’s personnel; (d) the Consultant’s fraud, wilful misconduct or gross negligence; and (e) any determination of employment status referred to in Clause 2.3.</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Except in respect of the matters in Clause 10.2 and its liability for fraud, the Consultant’s aggregate liability under this Agreement shall not exceed </w:t>
      </w:r>
      <w:r>
        <w:rPr>
          <w:rFonts w:ascii="Calibri" w:cs="Calibri" w:eastAsia="Calibri" w:hAnsi="Calibri"/>
          <w:b/>
          <w:bCs/>
          <w:sz w:val="21"/>
          <w:szCs w:val="21"/>
        </w:rPr>
        <w:t xml:space="preserve">[CAP — e.g. the total Consultancy Fee paid in the twelve (12) months preceding the claim]</w:t>
      </w:r>
      <w:r>
        <w:rPr>
          <w:rFonts w:ascii="Calibri" w:cs="Calibri" w:eastAsia="Calibri" w:hAnsi="Calibri"/>
          <w:sz w:val="21"/>
          <w:szCs w:val="21"/>
        </w:rPr>
        <w:t xml:space="preserve">. </w:t>
      </w:r>
      <w:r>
        <w:rPr>
          <w:rFonts w:ascii="Calibri" w:cs="Calibri" w:eastAsia="Calibri" w:hAnsi="Calibri"/>
          <w:i/>
          <w:iCs/>
          <w:color w:val="6E7480"/>
          <w:sz w:val="21"/>
          <w:szCs w:val="21"/>
        </w:rPr>
        <w:t xml:space="preserve">The cap is a commercial decision — specify.</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Neither Party is liable for indirect or consequential loss.</w:t>
      </w:r>
    </w:p>
    <w:p>
      <w:pPr>
        <w:keepNext/>
        <w:spacing w:after="120" w:before="280"/>
        <w:outlineLvl w:val="0"/>
      </w:pPr>
      <w:r>
        <w:rPr>
          <w:rFonts w:ascii="Calibri" w:cs="Calibri" w:eastAsia="Calibri" w:hAnsi="Calibri"/>
          <w:b/>
          <w:bCs/>
          <w:color w:val="14161B"/>
          <w:sz w:val="22"/>
          <w:szCs w:val="22"/>
        </w:rPr>
        <w:t xml:space="preserve">11. COMPANY PROPERTY AND ACCESS</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Any equipment, credentials, access cards, data or materials provided by the Company remain the Company’s property, shall be used only for the Services, and shall be returned on demand or on termination.</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Consultant shall comply with the Company’s information-security, acceptable-use and premises policies notified to it, and shall not attempt to access systems or data beyond the access granted.</w:t>
      </w:r>
    </w:p>
    <w:p>
      <w:pPr>
        <w:keepNext/>
        <w:spacing w:after="120" w:before="280"/>
        <w:outlineLvl w:val="0"/>
      </w:pPr>
      <w:r>
        <w:rPr>
          <w:rFonts w:ascii="Calibri" w:cs="Calibri" w:eastAsia="Calibri" w:hAnsi="Calibri"/>
          <w:b/>
          <w:bCs/>
          <w:color w:val="14161B"/>
          <w:sz w:val="22"/>
          <w:szCs w:val="22"/>
        </w:rPr>
        <w:t xml:space="preserve">12. TERMINATION</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Either Party may terminate this Agreement for convenience on </w:t>
      </w:r>
      <w:r>
        <w:rPr>
          <w:rFonts w:ascii="Calibri" w:cs="Calibri" w:eastAsia="Calibri" w:hAnsi="Calibri"/>
          <w:b/>
          <w:bCs/>
          <w:sz w:val="21"/>
          <w:szCs w:val="21"/>
        </w:rPr>
        <w:t xml:space="preserve">[NUMBER]</w:t>
      </w:r>
      <w:r>
        <w:rPr>
          <w:rFonts w:ascii="Calibri" w:cs="Calibri" w:eastAsia="Calibri" w:hAnsi="Calibri"/>
          <w:sz w:val="21"/>
          <w:szCs w:val="21"/>
        </w:rPr>
        <w:t xml:space="preserve"> days’ written notice.</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The Company may terminate with immediate effect by written notice if the Consultant: (a) commits a material breach not remedied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notice; (b) is guilty of dishonesty, fraud or conduct that brings the Company into disrepute; (c) becomes unable to provide the Services by reason of incapacity for more than </w:t>
      </w:r>
      <w:r>
        <w:rPr>
          <w:rFonts w:ascii="Calibri" w:cs="Calibri" w:eastAsia="Calibri" w:hAnsi="Calibri"/>
          <w:b/>
          <w:bCs/>
          <w:sz w:val="21"/>
          <w:szCs w:val="21"/>
        </w:rPr>
        <w:t xml:space="preserve">[NUMBER]</w:t>
      </w:r>
      <w:r>
        <w:rPr>
          <w:rFonts w:ascii="Calibri" w:cs="Calibri" w:eastAsia="Calibri" w:hAnsi="Calibri"/>
          <w:sz w:val="21"/>
          <w:szCs w:val="21"/>
        </w:rPr>
        <w:t xml:space="preserve"> consecutive days; (d) becomes insolvent or has a resolution professional, receiver or liquidator appointed; or (e) breaches Clause 5, 6, 7 or 8.</w:t>
      </w:r>
    </w:p>
    <w:p>
      <w:pPr>
        <w:spacing w:after="120" w:before="60" w:line="276"/>
        <w:ind w:left="720" w:hanging="720"/>
        <w:jc w:val="both"/>
      </w:pPr>
      <w:r>
        <w:rPr>
          <w:rFonts w:ascii="Calibri" w:cs="Calibri" w:eastAsia="Calibri" w:hAnsi="Calibri"/>
          <w:sz w:val="21"/>
          <w:szCs w:val="21"/>
        </w:rPr>
        <w:t xml:space="preserve">12.3	</w:t>
      </w:r>
      <w:r>
        <w:rPr>
          <w:rFonts w:ascii="Calibri" w:cs="Calibri" w:eastAsia="Calibri" w:hAnsi="Calibri"/>
          <w:sz w:val="21"/>
          <w:szCs w:val="21"/>
        </w:rPr>
        <w:t xml:space="preserve">On termination the Company shall pay for Services properly performed up to the effective date, less any amounts due to it. The Consultant is not entitled to compensation for termination.</w:t>
      </w:r>
    </w:p>
    <w:p>
      <w:pPr>
        <w:spacing w:after="120" w:before="60" w:line="276"/>
        <w:ind w:left="720" w:hanging="720"/>
        <w:jc w:val="both"/>
      </w:pPr>
      <w:r>
        <w:rPr>
          <w:rFonts w:ascii="Calibri" w:cs="Calibri" w:eastAsia="Calibri" w:hAnsi="Calibri"/>
          <w:sz w:val="21"/>
          <w:szCs w:val="21"/>
        </w:rPr>
        <w:t xml:space="preserve">12.4	</w:t>
      </w:r>
      <w:r>
        <w:rPr>
          <w:rFonts w:ascii="Calibri" w:cs="Calibri" w:eastAsia="Calibri" w:hAnsi="Calibri"/>
          <w:sz w:val="21"/>
          <w:szCs w:val="21"/>
        </w:rPr>
        <w:t xml:space="preserve">Clauses 2.3, 5, 6, 7, 9, 10, 12.3, 13 and 14 survive termination.</w:t>
      </w:r>
    </w:p>
    <w:p>
      <w:pPr>
        <w:keepNext/>
        <w:spacing w:after="120" w:before="280"/>
        <w:outlineLvl w:val="0"/>
      </w:pPr>
      <w:r>
        <w:rPr>
          <w:rFonts w:ascii="Calibri" w:cs="Calibri" w:eastAsia="Calibri" w:hAnsi="Calibri"/>
          <w:b/>
          <w:bCs/>
          <w:color w:val="14161B"/>
          <w:sz w:val="22"/>
          <w:szCs w:val="22"/>
        </w:rPr>
        <w:t xml:space="preserve">13. GOVERNING LAW AND DISPUTES</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This Agreement is governed by the laws of India.</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Any dispute shall be finally resolved by arbitration before a sole arbitrator under the Arbitration and Conciliation Act, 1996, with seat and venue at </w:t>
      </w:r>
      <w:r>
        <w:rPr>
          <w:rFonts w:ascii="Calibri" w:cs="Calibri" w:eastAsia="Calibri" w:hAnsi="Calibri"/>
          <w:b/>
          <w:bCs/>
          <w:sz w:val="21"/>
          <w:szCs w:val="21"/>
        </w:rPr>
        <w:t xml:space="preserve">[CITY]</w:t>
      </w:r>
      <w:r>
        <w:rPr>
          <w:rFonts w:ascii="Calibri" w:cs="Calibri" w:eastAsia="Calibri" w:hAnsi="Calibri"/>
          <w:sz w:val="21"/>
          <w:szCs w:val="21"/>
        </w:rPr>
        <w:t xml:space="preserve">, India, in English. Either Party may seek interim relief from a competent court, including under Section 9 of that Act. Subject to this Clause,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have exclusive jurisdiction.</w:t>
      </w:r>
    </w:p>
    <w:p>
      <w:pPr>
        <w:keepNext/>
        <w:spacing w:after="120" w:before="280"/>
        <w:outlineLvl w:val="0"/>
      </w:pPr>
      <w:r>
        <w:rPr>
          <w:rFonts w:ascii="Calibri" w:cs="Calibri" w:eastAsia="Calibri" w:hAnsi="Calibri"/>
          <w:b/>
          <w:bCs/>
          <w:color w:val="14161B"/>
          <w:sz w:val="22"/>
          <w:szCs w:val="22"/>
        </w:rPr>
        <w:t xml:space="preserve">14. GENERAL</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b/>
          <w:bCs/>
          <w:sz w:val="21"/>
          <w:szCs w:val="21"/>
        </w:rPr>
        <w:t xml:space="preserve">Notices.</w:t>
      </w:r>
      <w:r>
        <w:rPr>
          <w:rFonts w:ascii="Calibri" w:cs="Calibri" w:eastAsia="Calibri" w:hAnsi="Calibri"/>
          <w:sz w:val="21"/>
          <w:szCs w:val="21"/>
        </w:rPr>
        <w:t xml:space="preserve"> In writing, by hand, courier, registered post or email, to the addresses stated above or as notified.</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supersedes all prior arrangements relating to its subject matter.</w:t>
      </w:r>
    </w:p>
    <w:p>
      <w:pPr>
        <w:spacing w:after="120" w:before="60" w:line="276"/>
        <w:ind w:left="720" w:hanging="720"/>
        <w:jc w:val="both"/>
      </w:pPr>
      <w:r>
        <w:rPr>
          <w:rFonts w:ascii="Calibri" w:cs="Calibri" w:eastAsia="Calibri" w:hAnsi="Calibri"/>
          <w:sz w:val="21"/>
          <w:szCs w:val="21"/>
        </w:rPr>
        <w:t xml:space="preserve">14.3	</w:t>
      </w:r>
      <w:r>
        <w:rPr>
          <w:rFonts w:ascii="Calibri" w:cs="Calibri" w:eastAsia="Calibri" w:hAnsi="Calibri"/>
          <w:b/>
          <w:bCs/>
          <w:sz w:val="21"/>
          <w:szCs w:val="21"/>
        </w:rPr>
        <w:t xml:space="preserve">Amendment.</w:t>
      </w:r>
      <w:r>
        <w:rPr>
          <w:rFonts w:ascii="Calibri" w:cs="Calibri" w:eastAsia="Calibri" w:hAnsi="Calibri"/>
          <w:sz w:val="21"/>
          <w:szCs w:val="21"/>
        </w:rPr>
        <w:t xml:space="preserve"> Only in writing signed by both Parties.</w:t>
      </w:r>
    </w:p>
    <w:p>
      <w:pPr>
        <w:spacing w:after="120" w:before="60" w:line="276"/>
        <w:ind w:left="720" w:hanging="720"/>
        <w:jc w:val="both"/>
      </w:pPr>
      <w:r>
        <w:rPr>
          <w:rFonts w:ascii="Calibri" w:cs="Calibri" w:eastAsia="Calibri" w:hAnsi="Calibri"/>
          <w:sz w:val="21"/>
          <w:szCs w:val="21"/>
        </w:rPr>
        <w:t xml:space="preserve">14.4	</w:t>
      </w:r>
      <w:r>
        <w:rPr>
          <w:rFonts w:ascii="Calibri" w:cs="Calibri" w:eastAsia="Calibri" w:hAnsi="Calibri"/>
          <w:b/>
          <w:bCs/>
          <w:sz w:val="21"/>
          <w:szCs w:val="21"/>
        </w:rPr>
        <w:t xml:space="preserve">Assignment.</w:t>
      </w:r>
      <w:r>
        <w:rPr>
          <w:rFonts w:ascii="Calibri" w:cs="Calibri" w:eastAsia="Calibri" w:hAnsi="Calibri"/>
          <w:sz w:val="21"/>
          <w:szCs w:val="21"/>
        </w:rPr>
        <w:t xml:space="preserve"> The Consultant may not assign or subcontract without the Company’s prior written consent; the engagement is personal to the Consultant and, where the Consultant is an entity, to the individual named in Schedule 1.</w:t>
      </w:r>
    </w:p>
    <w:p>
      <w:pPr>
        <w:spacing w:after="120" w:before="60" w:line="276"/>
        <w:ind w:left="720" w:hanging="720"/>
        <w:jc w:val="both"/>
      </w:pPr>
      <w:r>
        <w:rPr>
          <w:rFonts w:ascii="Calibri" w:cs="Calibri" w:eastAsia="Calibri" w:hAnsi="Calibri"/>
          <w:sz w:val="21"/>
          <w:szCs w:val="21"/>
        </w:rPr>
        <w:t xml:space="preserve">14.5	</w:t>
      </w:r>
      <w:r>
        <w:rPr>
          <w:rFonts w:ascii="Calibri" w:cs="Calibri" w:eastAsia="Calibri" w:hAnsi="Calibri"/>
          <w:b/>
          <w:bCs/>
          <w:sz w:val="21"/>
          <w:szCs w:val="21"/>
        </w:rPr>
        <w:t xml:space="preserve">Severability.</w:t>
      </w:r>
      <w:r>
        <w:rPr>
          <w:rFonts w:ascii="Calibri" w:cs="Calibri" w:eastAsia="Calibri" w:hAnsi="Calibri"/>
          <w:sz w:val="21"/>
          <w:szCs w:val="21"/>
        </w:rPr>
        <w:t xml:space="preserve"> Invalid provisions shall be severed and the remainder shall continue.</w:t>
      </w:r>
    </w:p>
    <w:p>
      <w:pPr>
        <w:spacing w:after="120" w:before="60" w:line="276"/>
        <w:ind w:left="720" w:hanging="720"/>
        <w:jc w:val="both"/>
      </w:pPr>
      <w:r>
        <w:rPr>
          <w:rFonts w:ascii="Calibri" w:cs="Calibri" w:eastAsia="Calibri" w:hAnsi="Calibri"/>
          <w:sz w:val="21"/>
          <w:szCs w:val="21"/>
        </w:rPr>
        <w:t xml:space="preserve">14.6	</w:t>
      </w:r>
      <w:r>
        <w:rPr>
          <w:rFonts w:ascii="Calibri" w:cs="Calibri" w:eastAsia="Calibri" w:hAnsi="Calibri"/>
          <w:b/>
          <w:bCs/>
          <w:sz w:val="21"/>
          <w:szCs w:val="21"/>
        </w:rPr>
        <w:t xml:space="preserve">Counterparts and electronic execution.</w:t>
      </w:r>
      <w:r>
        <w:rPr>
          <w:rFonts w:ascii="Calibri" w:cs="Calibri" w:eastAsia="Calibri" w:hAnsi="Calibri"/>
          <w:sz w:val="21"/>
          <w:szCs w:val="21"/>
        </w:rPr>
        <w:t xml:space="preserve"> May be executed in counterparts and by electronic signature, with effect under Section 5 of the Information Technology Act, 2000.</w:t>
      </w:r>
    </w:p>
    <w:p>
      <w:pPr>
        <w:spacing w:after="120" w:before="60" w:line="276"/>
        <w:ind w:left="720" w:hanging="720"/>
        <w:jc w:val="both"/>
      </w:pPr>
      <w:r>
        <w:rPr>
          <w:rFonts w:ascii="Calibri" w:cs="Calibri" w:eastAsia="Calibri" w:hAnsi="Calibri"/>
          <w:sz w:val="21"/>
          <w:szCs w:val="21"/>
        </w:rPr>
        <w:t xml:space="preserve">14.7	</w:t>
      </w:r>
      <w:r>
        <w:rPr>
          <w:rFonts w:ascii="Calibri" w:cs="Calibri" w:eastAsia="Calibri" w:hAnsi="Calibri"/>
          <w:b/>
          <w:bCs/>
          <w:sz w:val="21"/>
          <w:szCs w:val="21"/>
        </w:rPr>
        <w:t xml:space="preserve">Stamp duty.</w:t>
      </w:r>
      <w:r>
        <w:rPr>
          <w:rFonts w:ascii="Calibri" w:cs="Calibri" w:eastAsia="Calibri" w:hAnsi="Calibri"/>
          <w:sz w:val="21"/>
          <w:szCs w:val="21"/>
        </w:rPr>
        <w:t xml:space="preserve"> Borne by </w:t>
      </w:r>
      <w:r>
        <w:rPr>
          <w:rFonts w:ascii="Calibri" w:cs="Calibri" w:eastAsia="Calibri" w:hAnsi="Calibri"/>
          <w:b/>
          <w:bCs/>
          <w:sz w:val="21"/>
          <w:szCs w:val="21"/>
        </w:rPr>
        <w:t xml:space="preserve">[PARTY BEARING STAMP DUTY]</w:t>
      </w:r>
      <w:r>
        <w:rPr>
          <w:rFonts w:ascii="Calibri" w:cs="Calibri" w:eastAsia="Calibri" w:hAnsi="Calibri"/>
          <w:sz w:val="21"/>
          <w:szCs w:val="21"/>
        </w:rPr>
        <w:t xml:space="preserve">.</w:t>
      </w:r>
    </w:p>
    <w:p>
      <w:pPr>
        <w:spacing w:after="20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[CONSULTANT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Scope of Services</w:t>
      </w:r>
    </w:p>
    <w:p>
      <w:pPr>
        <w:keepNext/>
        <w:spacing w:after="100" w:before="200"/>
        <w:outlineLvl w:val="1"/>
      </w:pPr>
      <w:r>
        <w:rPr>
          <w:rFonts w:ascii="Calibri" w:cs="Calibri" w:eastAsia="Calibri" w:hAnsi="Calibri"/>
          <w:b/>
          <w:bCs/>
          <w:color w:val="14161B"/>
          <w:sz w:val="21"/>
          <w:szCs w:val="21"/>
        </w:rPr>
        <w:t xml:space="preserve">1. Description of services</w:t>
      </w:r>
    </w:p>
    <w:p>
      <w:pPr>
        <w:spacing w:after="140" w:before="0" w:line="276"/>
        <w:jc w:val="both"/>
      </w:pPr>
      <w:r>
        <w:rPr>
          <w:rFonts w:ascii="Calibri" w:cs="Calibri" w:eastAsia="Calibri" w:hAnsi="Calibri"/>
          <w:b/>
          <w:bCs/>
          <w:sz w:val="21"/>
          <w:szCs w:val="21"/>
        </w:rPr>
        <w:t xml:space="preserve">[DESCRIBE THE SERVICES — objectives, activities, methodology, standards applied]</w:t>
      </w:r>
    </w:p>
    <w:p>
      <w:pPr>
        <w:keepNext/>
        <w:spacing w:after="100" w:before="200"/>
        <w:outlineLvl w:val="1"/>
      </w:pPr>
      <w:r>
        <w:rPr>
          <w:rFonts w:ascii="Calibri" w:cs="Calibri" w:eastAsia="Calibri" w:hAnsi="Calibri"/>
          <w:b/>
          <w:bCs/>
          <w:color w:val="14161B"/>
          <w:sz w:val="21"/>
          <w:szCs w:val="21"/>
        </w:rPr>
        <w:t xml:space="preserve">2. Named individual</w:t>
      </w:r>
    </w:p>
    <w:p>
      <w:pPr>
        <w:spacing w:after="140" w:before="0" w:line="276"/>
        <w:jc w:val="both"/>
      </w:pPr>
      <w:r>
        <w:rPr>
          <w:rFonts w:ascii="Calibri" w:cs="Calibri" w:eastAsia="Calibri" w:hAnsi="Calibri"/>
          <w:sz w:val="21"/>
          <w:szCs w:val="21"/>
        </w:rPr>
        <w:t xml:space="preserve">The Services shall be performed personally by </w:t>
      </w:r>
      <w:r>
        <w:rPr>
          <w:rFonts w:ascii="Calibri" w:cs="Calibri" w:eastAsia="Calibri" w:hAnsi="Calibri"/>
          <w:b/>
          <w:bCs/>
          <w:sz w:val="21"/>
          <w:szCs w:val="21"/>
        </w:rPr>
        <w:t xml:space="preserve">[NAME OF INDIVIDUAL]</w:t>
      </w:r>
      <w:r>
        <w:rPr>
          <w:rFonts w:ascii="Calibri" w:cs="Calibri" w:eastAsia="Calibri" w:hAnsi="Calibri"/>
          <w:sz w:val="21"/>
          <w:szCs w:val="21"/>
        </w:rPr>
        <w:t xml:space="preserve"> and may not be delegated without the Company’s prior written consent.</w:t>
      </w:r>
    </w:p>
    <w:p>
      <w:pPr>
        <w:keepNext/>
        <w:spacing w:after="100" w:before="200"/>
        <w:outlineLvl w:val="1"/>
      </w:pPr>
      <w:r>
        <w:rPr>
          <w:rFonts w:ascii="Calibri" w:cs="Calibri" w:eastAsia="Calibri" w:hAnsi="Calibri"/>
          <w:b/>
          <w:bCs/>
          <w:color w:val="14161B"/>
          <w:sz w:val="21"/>
          <w:szCs w:val="21"/>
        </w:rPr>
        <w:t xml:space="preserve">3. Deliverables and timelines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2505"/>
        <w:gridCol w:w="4626"/>
        <w:gridCol w:w="1929"/>
      </w:tblGrid>
      <w:tr>
        <w:trPr>
          <w:tblHeader/>
        </w:trPr>
        <w:tc>
          <w:tcPr>
            <w:tcW w:type="dxa" w:w="57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92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Due date</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92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92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[DELIVERABLE]</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1929"/>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bl>
    <w:p>
      <w:pPr>
        <w:spacing w:after="140"/>
      </w:pPr>
    </w:p>
    <w:p>
      <w:pPr>
        <w:keepNext/>
        <w:spacing w:after="100" w:before="200"/>
        <w:outlineLvl w:val="1"/>
      </w:pPr>
      <w:r>
        <w:rPr>
          <w:rFonts w:ascii="Calibri" w:cs="Calibri" w:eastAsia="Calibri" w:hAnsi="Calibri"/>
          <w:b/>
          <w:bCs/>
          <w:color w:val="14161B"/>
          <w:sz w:val="21"/>
          <w:szCs w:val="21"/>
        </w:rPr>
        <w:t xml:space="preserve">4. Company dependencies</w:t>
      </w:r>
    </w:p>
    <w:p>
      <w:pPr>
        <w:pStyle w:val="ListParagraph"/>
        <w:numPr>
          <w:ilvl w:val="0"/>
          <w:numId w:val="2"/>
        </w:numPr>
        <w:spacing w:after="80" w:before="20" w:line="276"/>
        <w:jc w:val="both"/>
      </w:pPr>
      <w:r>
        <w:rPr>
          <w:rFonts w:ascii="Calibri" w:cs="Calibri" w:eastAsia="Calibri" w:hAnsi="Calibri"/>
          <w:b/>
          <w:bCs/>
          <w:sz w:val="21"/>
          <w:szCs w:val="21"/>
        </w:rPr>
        <w:t xml:space="preserve">[DEPENDENCY]</w:t>
      </w:r>
    </w:p>
    <w:p>
      <w:pPr>
        <w:pStyle w:val="ListParagraph"/>
        <w:numPr>
          <w:ilvl w:val="0"/>
          <w:numId w:val="2"/>
        </w:numPr>
        <w:spacing w:after="80" w:before="20" w:line="276"/>
        <w:jc w:val="both"/>
      </w:pPr>
      <w:r>
        <w:rPr>
          <w:rFonts w:ascii="Calibri" w:cs="Calibri" w:eastAsia="Calibri" w:hAnsi="Calibri"/>
          <w:b/>
          <w:bCs/>
          <w:sz w:val="21"/>
          <w:szCs w:val="21"/>
        </w:rPr>
        <w:t xml:space="preserve">[DEPENDENCY]</w:t>
      </w:r>
    </w:p>
    <w:p>
      <w:pPr>
        <w:spacing w:after="140"/>
      </w:pPr>
    </w:p>
    <w:p>
      <w:pPr>
        <w:keepNext/>
        <w:spacing w:after="100" w:before="200"/>
        <w:outlineLvl w:val="1"/>
      </w:pPr>
      <w:r>
        <w:rPr>
          <w:rFonts w:ascii="Calibri" w:cs="Calibri" w:eastAsia="Calibri" w:hAnsi="Calibri"/>
          <w:b/>
          <w:bCs/>
          <w:color w:val="14161B"/>
          <w:sz w:val="21"/>
          <w:szCs w:val="21"/>
        </w:rPr>
        <w:t xml:space="preserve">5. Out of scope</w:t>
      </w:r>
    </w:p>
    <w:p>
      <w:pPr>
        <w:spacing w:after="160" w:before="0" w:line="276"/>
        <w:jc w:val="both"/>
      </w:pPr>
      <w:r>
        <w:rPr>
          <w:rFonts w:ascii="Calibri" w:cs="Calibri" w:eastAsia="Calibri" w:hAnsi="Calibri"/>
          <w:b/>
          <w:bCs/>
          <w:sz w:val="21"/>
          <w:szCs w:val="21"/>
        </w:rPr>
        <w:t xml:space="preserve">[LIST WHAT IS EXCLUDED]</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Consultancy Fee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Fee basis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[FIXED FEE / MONTHLY RETAINER / DAY RATE / MILESTONE-LINKED]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w:t>
            </w:r>
            <w:r>
              <w:rPr>
                <w:rFonts w:ascii="Calibri" w:cs="Calibri" w:eastAsia="Calibri" w:hAnsi="Calibri"/>
                <w:b/>
                <w:bCs/>
                <w:sz w:val="19"/>
                <w:szCs w:val="19"/>
              </w:rPr>
              <w:t xml:space="preserve">[PER MONTH / PER DAY / IN TOTAL]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Cap on total fees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 not to be exceeded without written approval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Invoicing frequency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[MONTHLY IN ARREARS / ON MILESTONE]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terms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days from receipt of a correct invoice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Expenses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Pre-approved, at cost, with receipts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[APPLICABLE / NOT APPLICABLE]</w:t>
            </w:r>
            <w:r>
              <w:rPr>
                <w:rFonts w:ascii="Calibri" w:cs="Calibri" w:eastAsia="Calibri" w:hAnsi="Calibri"/>
                <w:sz w:val="19"/>
                <w:szCs w:val="19"/>
              </w:rPr>
              <w:t xml:space="preserve"> — GSTIN: </w:t>
            </w:r>
            <w:r>
              <w:rPr>
                <w:rFonts w:ascii="Calibri" w:cs="Calibri" w:eastAsia="Calibri" w:hAnsi="Calibri"/>
                <w:b/>
                <w:bCs/>
                <w:sz w:val="19"/>
                <w:szCs w:val="19"/>
              </w:rPr>
              <w:t xml:space="preserve">[GSTIN]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TDS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Deducted under Section 393, Income-tax Act, 2025 at the rate in force</w:t>
            </w:r>
          </w:p>
        </w:tc>
      </w:tr>
    </w:tbl>
    <w:p>
      <w:pPr>
        <w:spacing w:after="140"/>
      </w:pPr>
    </w:p>
    <w:p>
      <w:pPr>
        <w:keepNext/>
        <w:spacing w:after="100" w:before="200"/>
        <w:outlineLvl w:val="1"/>
      </w:pPr>
      <w:r>
        <w:rPr>
          <w:rFonts w:ascii="Calibri" w:cs="Calibri" w:eastAsia="Calibri" w:hAnsi="Calibri"/>
          <w:b/>
          <w:bCs/>
          <w:color w:val="14161B"/>
          <w:sz w:val="21"/>
          <w:szCs w:val="21"/>
        </w:rPr>
        <w:t xml:space="preserve">Milestone-linked payments (if applicable)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2313"/>
        <w:gridCol w:w="3469"/>
        <w:gridCol w:w="1734"/>
        <w:gridCol w:w="1544"/>
      </w:tblGrid>
      <w:tr>
        <w:trPr>
          <w:tblHeader/>
        </w:trPr>
        <w:tc>
          <w:tcPr>
            <w:tcW w:type="dxa" w:w="57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Milestone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Completion criteria</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154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Target date</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[MILESTONE]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[CRITERIA]</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[MILESTONE]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[CRITERIA]</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[MILESTONE]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[CRITERIA]</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center"/>
            </w:pP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3469"/>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w:t>
            </w:r>
          </w:p>
        </w:tc>
        <w:tc>
          <w:tcPr>
            <w:tcW w:type="dxa" w:w="1544"/>
            <w:tcMar>
              <w:top w:type="dxa" w:w="70"/>
              <w:left w:type="dxa" w:w="100"/>
              <w:bottom w:type="dxa" w:w="70"/>
              <w:right w:type="dxa" w:w="100"/>
            </w:tcMar>
            <w:vAlign w:val="center"/>
          </w:tcPr>
          <w:p>
            <w:pPr>
              <w:spacing w:after="0" w:line="240"/>
              <w:jc w:val="center"/>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status question is the real risk</w:t>
      </w:r>
    </w:p>
    <w:p>
      <w:pPr>
        <w:spacing w:after="60" w:line="264"/>
        <w:jc w:val="both"/>
      </w:pPr>
      <w:r>
        <w:rPr>
          <w:rFonts w:ascii="Calibri" w:cs="Calibri" w:eastAsia="Calibri" w:hAnsi="Calibri"/>
          <w:sz w:val="19"/>
          <w:szCs w:val="19"/>
        </w:rPr>
        <w:t xml:space="preserve">The single largest exposure in a consultancy arrangement is a later finding that the consultant was in substance an employee — which brings provident fund, gratuity, ESI, notice pay and potentially retrenchment liability with it. Courts and authorities look at substance, not the label: control over how the work is done, integration into the organisation, exclusivity, fixed hours, use of company equipment, and whether the person bears any commercial risk. Clause 2 is drafted to support independent status, but the arrangement must actually operate that way. If you set the consultant’s hours, give them a company email and a reporting line into a team, and engage them exclusively for years, the document will not save you.</w:t>
      </w:r>
    </w:p>
    <w:p>
      <w:pPr>
        <w:keepNext/>
        <w:spacing w:after="40" w:before="140"/>
      </w:pPr>
      <w:r>
        <w:rPr>
          <w:rFonts w:ascii="Calibri" w:cs="Calibri" w:eastAsia="Calibri" w:hAnsi="Calibri"/>
          <w:b/>
          <w:bCs/>
          <w:color w:val="14161B"/>
          <w:sz w:val="20"/>
          <w:szCs w:val="20"/>
        </w:rPr>
        <w:t xml:space="preserve">Labour Codes context</w:t>
      </w:r>
    </w:p>
    <w:p>
      <w:pPr>
        <w:spacing w:after="60" w:line="264"/>
        <w:jc w:val="both"/>
      </w:pPr>
      <w:r>
        <w:rPr>
          <w:rFonts w:ascii="Calibri" w:cs="Calibri" w:eastAsia="Calibri" w:hAnsi="Calibri"/>
          <w:sz w:val="19"/>
          <w:szCs w:val="19"/>
        </w:rPr>
        <w:t xml:space="preserve">The four Labour Codes came into force on 21 November 2025, with Central Rules finalised on 8 May 2026. They tighten the statutory definitions of "employee", "worker" and "wages", and the Code on Social Security, 2020 brings gig and platform workers within specified benefit schemes. State rules differ and several States are still notifying theirs — verify your State’s position before treating any long-running engagement as outside the statutory net.</w:t>
      </w:r>
    </w:p>
    <w:p>
      <w:pPr>
        <w:keepNext/>
        <w:spacing w:after="40" w:before="140"/>
      </w:pPr>
      <w:r>
        <w:rPr>
          <w:rFonts w:ascii="Calibri" w:cs="Calibri" w:eastAsia="Calibri" w:hAnsi="Calibri"/>
          <w:b/>
          <w:bCs/>
          <w:color w:val="14161B"/>
          <w:sz w:val="20"/>
          <w:szCs w:val="20"/>
        </w:rPr>
        <w:t xml:space="preserve">Use a consultancy agreement only where it fits</w:t>
      </w:r>
    </w:p>
    <w:p>
      <w:pPr>
        <w:spacing w:after="60" w:line="264"/>
        <w:jc w:val="both"/>
      </w:pPr>
      <w:r>
        <w:rPr>
          <w:rFonts w:ascii="Calibri" w:cs="Calibri" w:eastAsia="Calibri" w:hAnsi="Calibri"/>
          <w:sz w:val="19"/>
          <w:szCs w:val="19"/>
        </w:rPr>
        <w:t xml:space="preserve">If the person will work fixed hours under supervision as part of a team, engage them as a fixed-term employee instead. Under the Labour Codes a fixed-term employee is entitled to pro-rata gratuity and to parity of conditions with permanent staff, which is often cheaper and far less risky than defending a misclassification claim.</w:t>
      </w:r>
    </w:p>
    <w:p>
      <w:pPr>
        <w:keepNext/>
        <w:spacing w:after="40" w:before="140"/>
      </w:pPr>
      <w:r>
        <w:rPr>
          <w:rFonts w:ascii="Calibri" w:cs="Calibri" w:eastAsia="Calibri" w:hAnsi="Calibri"/>
          <w:b/>
          <w:bCs/>
          <w:color w:val="14161B"/>
          <w:sz w:val="20"/>
          <w:szCs w:val="20"/>
        </w:rPr>
        <w:t xml:space="preserve">Moral rights waiver</w:t>
      </w:r>
    </w:p>
    <w:p>
      <w:pPr>
        <w:spacing w:after="60" w:line="264"/>
        <w:jc w:val="both"/>
      </w:pPr>
      <w:r>
        <w:rPr>
          <w:rFonts w:ascii="Calibri" w:cs="Calibri" w:eastAsia="Calibri" w:hAnsi="Calibri"/>
          <w:sz w:val="19"/>
          <w:szCs w:val="19"/>
        </w:rPr>
        <w:t xml:space="preserve">Clause 6.3 waives moral rights so far as the law permits. Section 57 of the Copyright Act, 1957 gives the author the right to claim authorship and to restrain distortion; the right to claim authorship in particular is not comfortably waivable in India. Where attribution matters commercially, negotiate an express credit line instead of relying on the waiver.</w:t>
      </w:r>
    </w:p>
    <w:p>
      <w:pPr>
        <w:keepNext/>
        <w:spacing w:after="40" w:before="140"/>
      </w:pPr>
      <w:r>
        <w:rPr>
          <w:rFonts w:ascii="Calibri" w:cs="Calibri" w:eastAsia="Calibri" w:hAnsi="Calibri"/>
          <w:b/>
          <w:bCs/>
          <w:color w:val="14161B"/>
          <w:sz w:val="20"/>
          <w:szCs w:val="20"/>
        </w:rPr>
        <w:t xml:space="preserve">Assignment of future work</w:t>
      </w:r>
    </w:p>
    <w:p>
      <w:pPr>
        <w:spacing w:after="60" w:line="264"/>
        <w:jc w:val="both"/>
      </w:pPr>
      <w:r>
        <w:rPr>
          <w:rFonts w:ascii="Calibri" w:cs="Calibri" w:eastAsia="Calibri" w:hAnsi="Calibri"/>
          <w:sz w:val="19"/>
          <w:szCs w:val="19"/>
        </w:rPr>
        <w:t xml:space="preserve">Clause 6.2 assigns future rights. An assignment of copyright in a future work takes effect only when the work comes into existence, so keep the further-assurance obligation in Clause 6.4 and, for anything valuable, take a short confirmatory deed of assignment on completion.</w:t>
      </w:r>
    </w:p>
    <w:p>
      <w:pPr>
        <w:keepNext/>
        <w:spacing w:after="40" w:before="140"/>
      </w:pPr>
      <w:r>
        <w:rPr>
          <w:rFonts w:ascii="Calibri" w:cs="Calibri" w:eastAsia="Calibri" w:hAnsi="Calibri"/>
          <w:b/>
          <w:bCs/>
          <w:color w:val="14161B"/>
          <w:sz w:val="20"/>
          <w:szCs w:val="20"/>
        </w:rPr>
        <w:t xml:space="preserve">TDS rate</w:t>
      </w:r>
    </w:p>
    <w:p>
      <w:pPr>
        <w:spacing w:after="60" w:line="264"/>
        <w:jc w:val="both"/>
      </w:pPr>
      <w:r>
        <w:rPr>
          <w:rFonts w:ascii="Calibri" w:cs="Calibri" w:eastAsia="Calibri" w:hAnsi="Calibri"/>
          <w:sz w:val="19"/>
          <w:szCs w:val="19"/>
        </w:rPr>
        <w:t xml:space="preserve">From 1 April 2026, deduction is under Section 393 of the Income-tax Act, 2025. Professional fees and technical services sit in different table entries and attract different rates; the challan and quarterly return must quote the new payment codes, not the old 194-series numbers. Confirm the correct code with your chartered accountant before the first payment.</w:t>
      </w:r>
    </w:p>
    <w:p>
      <w:pPr>
        <w:keepNext/>
        <w:spacing w:after="40" w:before="140"/>
      </w:pPr>
      <w:r>
        <w:rPr>
          <w:rFonts w:ascii="Calibri" w:cs="Calibri" w:eastAsia="Calibri" w:hAnsi="Calibri"/>
          <w:b/>
          <w:bCs/>
          <w:color w:val="14161B"/>
          <w:sz w:val="20"/>
          <w:szCs w:val="20"/>
        </w:rPr>
        <w:t xml:space="preserve">GST and reverse charge</w:t>
      </w:r>
    </w:p>
    <w:p>
      <w:pPr>
        <w:spacing w:after="60" w:line="264"/>
        <w:jc w:val="both"/>
      </w:pPr>
      <w:r>
        <w:rPr>
          <w:rFonts w:ascii="Calibri" w:cs="Calibri" w:eastAsia="Calibri" w:hAnsi="Calibri"/>
          <w:sz w:val="19"/>
          <w:szCs w:val="19"/>
        </w:rPr>
        <w:t xml:space="preserve">If the consultant is unregistered, check whether the supply attracts reverse charge in your hands. Also confirm whether the consultant is required to register at all, based on turnover and the nature of supply.</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Nominal in most States as an agreement, but ad valorem in some where consideration is stated. Duty is payable in the State of execution.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Verify your State’s position on the Labour Code rules before relying on this document.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2026-08-21T12:53:52.602Z</dcterms:created>
  <dcterms:modified xsi:type="dcterms:W3CDTF">2026-08-21T12:53:52.602Z</dcterms:modified>
</cp:coreProperties>
</file>

<file path=docProps/custom.xml><?xml version="1.0" encoding="utf-8"?>
<Properties xmlns="http://schemas.openxmlformats.org/officeDocument/2006/custom-properties" xmlns:vt="http://schemas.openxmlformats.org/officeDocument/2006/docPropsVTypes"/>
</file>