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COMMERCIAL LEASE DEED</w:t>
      </w:r>
    </w:p>
    <w:p>
      <w:pPr>
        <w:spacing w:after="260"/>
        <w:jc w:val="center"/>
      </w:pPr>
      <w:r>
        <w:rPr>
          <w:rFonts w:ascii="Calibri" w:cs="Calibri" w:eastAsia="Calibri" w:hAnsi="Calibri"/>
          <w:i/>
          <w:iCs/>
          <w:color w:val="6E7480"/>
          <w:sz w:val="19"/>
          <w:szCs w:val="19"/>
        </w:rPr>
        <w:t xml:space="preserve">Lease of commercial premises — to be stamped and registered</w:t>
      </w:r>
    </w:p>
    <w:p>
      <w:pPr>
        <w:spacing w:after="180" w:before="0" w:line="276"/>
        <w:jc w:val="both"/>
      </w:pPr>
      <w:r>
        <w:rPr>
          <w:rFonts w:ascii="Calibri" w:cs="Calibri" w:eastAsia="Calibri" w:hAnsi="Calibri"/>
          <w:i/>
          <w:iCs/>
          <w:color w:val="6E7480"/>
          <w:sz w:val="21"/>
          <w:szCs w:val="21"/>
        </w:rPr>
        <w:t xml:space="preserve">Registration and stamping are not formalities. An unregistered lease for a term above the threshold is inadmissible to prove its own terms, which means the carefully negotiated clauses become unavailable at exactly the moment they are needed.</w:t>
      </w:r>
    </w:p>
    <w:p>
      <w:pPr>
        <w:spacing w:after="160" w:before="0" w:line="276"/>
        <w:jc w:val="both"/>
      </w:pPr>
      <w:r>
        <w:rPr>
          <w:rFonts w:ascii="Calibri" w:cs="Calibri" w:eastAsia="Calibri" w:hAnsi="Calibri"/>
          <w:sz w:val="21"/>
          <w:szCs w:val="21"/>
        </w:rPr>
        <w:t xml:space="preserve">This Lease Deed (this "</w:t>
      </w:r>
      <w:r>
        <w:rPr>
          <w:rFonts w:ascii="Calibri" w:cs="Calibri" w:eastAsia="Calibri" w:hAnsi="Calibri"/>
          <w:b/>
          <w:bCs/>
          <w:sz w:val="21"/>
          <w:szCs w:val="21"/>
        </w:rPr>
        <w:t xml:space="preserve">Deed</w:t>
      </w:r>
      <w:r>
        <w:rPr>
          <w:rFonts w:ascii="Calibri" w:cs="Calibri" w:eastAsia="Calibri" w:hAnsi="Calibri"/>
          <w:sz w:val="21"/>
          <w:szCs w:val="21"/>
        </w:rPr>
        <w:t xml:space="preserve">") is made at </w:t>
      </w:r>
      <w:r>
        <w:rPr>
          <w:rFonts w:ascii="Calibri" w:cs="Calibri" w:eastAsia="Calibri" w:hAnsi="Calibri"/>
          <w:b/>
          <w:bCs/>
          <w:sz w:val="21"/>
          <w:szCs w:val="21"/>
        </w:rPr>
        <w:t xml:space="preserve">[PLACE OF EXECUTION]</w:t>
      </w:r>
      <w:r>
        <w:rPr>
          <w:rFonts w:ascii="Calibri" w:cs="Calibri" w:eastAsia="Calibri" w:hAnsi="Calibri"/>
          <w:sz w:val="21"/>
          <w:szCs w:val="21"/>
        </w:rPr>
        <w:t xml:space="preserve"> on </w:t>
      </w:r>
      <w:r>
        <w:rPr>
          <w:rFonts w:ascii="Calibri" w:cs="Calibri" w:eastAsia="Calibri" w:hAnsi="Calibri"/>
          <w:b/>
          <w:bCs/>
          <w:sz w:val="21"/>
          <w:szCs w:val="21"/>
        </w:rPr>
        <w:t xml:space="preserve">[DATE]</w:t>
      </w:r>
      <w:r>
        <w:rPr>
          <w:rFonts w:ascii="Calibri" w:cs="Calibri" w:eastAsia="Calibri" w:hAnsi="Calibri"/>
          <w:sz w:val="21"/>
          <w:szCs w:val="21"/>
        </w:rPr>
        <w:t xml:space="preserve">.</w:t>
      </w:r>
    </w:p>
    <w:p>
      <w:pPr>
        <w:spacing w:after="100" w:before="0" w:line="276"/>
        <w:jc w:val="both"/>
      </w:pPr>
      <w:r>
        <w:rPr>
          <w:rFonts w:ascii="Calibri" w:cs="Calibri" w:eastAsia="Calibri" w:hAnsi="Calibri"/>
          <w:b/>
          <w:bCs/>
          <w:sz w:val="21"/>
          <w:szCs w:val="21"/>
        </w:rPr>
        <w:t xml:space="preserve">BY AND BETWEEN</w:t>
      </w:r>
    </w:p>
    <w:p>
      <w:pPr>
        <w:spacing w:after="120" w:before="0" w:line="276"/>
        <w:jc w:val="both"/>
      </w:pPr>
      <w:r>
        <w:rPr>
          <w:rFonts w:ascii="Calibri" w:cs="Calibri" w:eastAsia="Calibri" w:hAnsi="Calibri"/>
          <w:b/>
          <w:bCs/>
          <w:sz w:val="21"/>
          <w:szCs w:val="21"/>
        </w:rPr>
        <w:t xml:space="preserve">[LESSOR NAME]</w:t>
      </w:r>
      <w:r>
        <w:rPr>
          <w:rFonts w:ascii="Calibri" w:cs="Calibri" w:eastAsia="Calibri" w:hAnsi="Calibri"/>
          <w:sz w:val="21"/>
          <w:szCs w:val="21"/>
        </w:rPr>
        <w:t xml:space="preserve">, </w:t>
      </w:r>
      <w:r>
        <w:rPr>
          <w:rFonts w:ascii="Calibri" w:cs="Calibri" w:eastAsia="Calibri" w:hAnsi="Calibri"/>
          <w:b/>
          <w:bCs/>
          <w:sz w:val="21"/>
          <w:szCs w:val="21"/>
        </w:rPr>
        <w:t xml:space="preserve">[CONSTITUTION — son/daughter of ______, aged ______, PAN ______ / a company bearing CIN ______]</w:t>
      </w:r>
      <w:r>
        <w:rPr>
          <w:rFonts w:ascii="Calibri" w:cs="Calibri" w:eastAsia="Calibri" w:hAnsi="Calibri"/>
          <w:sz w:val="21"/>
          <w:szCs w:val="21"/>
        </w:rPr>
        <w:t xml:space="preserve">, residing at or having its registered office at </w:t>
      </w:r>
      <w:r>
        <w:rPr>
          <w:rFonts w:ascii="Calibri" w:cs="Calibri" w:eastAsia="Calibri" w:hAnsi="Calibri"/>
          <w:b/>
          <w:bCs/>
          <w:sz w:val="21"/>
          <w:szCs w:val="21"/>
        </w:rPr>
        <w:t xml:space="preserve">[ADDRESS]</w:t>
      </w:r>
      <w:r>
        <w:rPr>
          <w:rFonts w:ascii="Calibri" w:cs="Calibri" w:eastAsia="Calibri" w:hAnsi="Calibri"/>
          <w:sz w:val="21"/>
          <w:szCs w:val="21"/>
        </w:rPr>
        <w:t xml:space="preserve"> (the "</w:t>
      </w:r>
      <w:r>
        <w:rPr>
          <w:rFonts w:ascii="Calibri" w:cs="Calibri" w:eastAsia="Calibri" w:hAnsi="Calibri"/>
          <w:b/>
          <w:bCs/>
          <w:sz w:val="21"/>
          <w:szCs w:val="21"/>
        </w:rPr>
        <w:t xml:space="preserve">Lessor</w:t>
      </w:r>
      <w:r>
        <w:rPr>
          <w:rFonts w:ascii="Calibri" w:cs="Calibri" w:eastAsia="Calibri" w:hAnsi="Calibri"/>
          <w:sz w:val="21"/>
          <w:szCs w:val="21"/>
        </w:rPr>
        <w:t xml:space="preserve">", which expression includes heirs, executors, administrators, successors and permitted assigns) of the ONE PART;</w:t>
      </w:r>
    </w:p>
    <w:p>
      <w:pPr>
        <w:spacing w:after="100" w:before="0" w:line="276"/>
        <w:jc w:val="both"/>
      </w:pPr>
      <w:r>
        <w:rPr>
          <w:rFonts w:ascii="Calibri" w:cs="Calibri" w:eastAsia="Calibri" w:hAnsi="Calibri"/>
          <w:b/>
          <w:bCs/>
          <w:sz w:val="21"/>
          <w:szCs w:val="21"/>
        </w:rPr>
        <w:t xml:space="preserve">AND</w:t>
      </w:r>
    </w:p>
    <w:p>
      <w:pPr>
        <w:spacing w:after="160" w:before="0" w:line="276"/>
        <w:jc w:val="both"/>
      </w:pPr>
      <w:r>
        <w:rPr>
          <w:rFonts w:ascii="Calibri" w:cs="Calibri" w:eastAsia="Calibri" w:hAnsi="Calibri"/>
          <w:b/>
          <w:bCs/>
          <w:sz w:val="21"/>
          <w:szCs w:val="21"/>
        </w:rPr>
        <w:t xml:space="preserve">[LESSEE NAME]</w:t>
      </w:r>
      <w:r>
        <w:rPr>
          <w:rFonts w:ascii="Calibri" w:cs="Calibri" w:eastAsia="Calibri" w:hAnsi="Calibri"/>
          <w:sz w:val="21"/>
          <w:szCs w:val="21"/>
        </w:rPr>
        <w:t xml:space="preserve">, a company incorporated under the Companies Act, 2013 bearing CIN </w:t>
      </w:r>
      <w:r>
        <w:rPr>
          <w:rFonts w:ascii="Calibri" w:cs="Calibri" w:eastAsia="Calibri" w:hAnsi="Calibri"/>
          <w:b/>
          <w:bCs/>
          <w:sz w:val="21"/>
          <w:szCs w:val="21"/>
        </w:rPr>
        <w:t xml:space="preserve">[CIN]</w:t>
      </w:r>
      <w:r>
        <w:rPr>
          <w:rFonts w:ascii="Calibri" w:cs="Calibri" w:eastAsia="Calibri" w:hAnsi="Calibri"/>
          <w:sz w:val="21"/>
          <w:szCs w:val="21"/>
        </w:rPr>
        <w:t xml:space="preserve"> and PAN </w:t>
      </w:r>
      <w:r>
        <w:rPr>
          <w:rFonts w:ascii="Calibri" w:cs="Calibri" w:eastAsia="Calibri" w:hAnsi="Calibri"/>
          <w:b/>
          <w:bCs/>
          <w:sz w:val="21"/>
          <w:szCs w:val="21"/>
        </w:rPr>
        <w:t xml:space="preserve">[PAN]</w:t>
      </w:r>
      <w:r>
        <w:rPr>
          <w:rFonts w:ascii="Calibri" w:cs="Calibri" w:eastAsia="Calibri" w:hAnsi="Calibri"/>
          <w:sz w:val="21"/>
          <w:szCs w:val="21"/>
        </w:rPr>
        <w:t xml:space="preserve">, having its registered office at </w:t>
      </w:r>
      <w:r>
        <w:rPr>
          <w:rFonts w:ascii="Calibri" w:cs="Calibri" w:eastAsia="Calibri" w:hAnsi="Calibri"/>
          <w:b/>
          <w:bCs/>
          <w:sz w:val="21"/>
          <w:szCs w:val="21"/>
        </w:rPr>
        <w:t xml:space="preserve">[REGISTERED OFFICE ADDRESS]</w:t>
      </w:r>
      <w:r>
        <w:rPr>
          <w:rFonts w:ascii="Calibri" w:cs="Calibri" w:eastAsia="Calibri" w:hAnsi="Calibri"/>
          <w:sz w:val="21"/>
          <w:szCs w:val="21"/>
        </w:rPr>
        <w:t xml:space="preserve"> (the "</w:t>
      </w:r>
      <w:r>
        <w:rPr>
          <w:rFonts w:ascii="Calibri" w:cs="Calibri" w:eastAsia="Calibri" w:hAnsi="Calibri"/>
          <w:b/>
          <w:bCs/>
          <w:sz w:val="21"/>
          <w:szCs w:val="21"/>
        </w:rPr>
        <w:t xml:space="preserve">Lessee</w:t>
      </w:r>
      <w:r>
        <w:rPr>
          <w:rFonts w:ascii="Calibri" w:cs="Calibri" w:eastAsia="Calibri" w:hAnsi="Calibri"/>
          <w:sz w:val="21"/>
          <w:szCs w:val="21"/>
        </w:rPr>
        <w:t xml:space="preserve">", which expression includes its successors and permitted assigns) of the OTHER PART.</w:t>
      </w:r>
    </w:p>
    <w:p>
      <w:pPr>
        <w:keepNext/>
        <w:spacing w:after="120" w:before="280"/>
        <w:outlineLvl w:val="0"/>
      </w:pPr>
      <w:r>
        <w:rPr>
          <w:rFonts w:ascii="Calibri" w:cs="Calibri" w:eastAsia="Calibri" w:hAnsi="Calibri"/>
          <w:b/>
          <w:bCs/>
          <w:color w:val="14161B"/>
          <w:sz w:val="22"/>
          <w:szCs w:val="22"/>
        </w:rPr>
        <w:t xml:space="preserve">RECITALS</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The Lessor is the absolute and lawful owner of, and is seized and possessed of and otherwise well and sufficiently entitled to, the premises described in Schedule I (the "</w:t>
      </w:r>
      <w:r>
        <w:rPr>
          <w:rFonts w:ascii="Calibri" w:cs="Calibri" w:eastAsia="Calibri" w:hAnsi="Calibri"/>
          <w:b/>
          <w:bCs/>
          <w:sz w:val="21"/>
          <w:szCs w:val="21"/>
        </w:rPr>
        <w:t xml:space="preserve">Premises</w:t>
      </w:r>
      <w:r>
        <w:rPr>
          <w:rFonts w:ascii="Calibri" w:cs="Calibri" w:eastAsia="Calibri" w:hAnsi="Calibri"/>
          <w:sz w:val="21"/>
          <w:szCs w:val="21"/>
        </w:rPr>
        <w:t xml:space="preserve">"), free from all encumbrances, charges, liens, litigation and claims.</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The Lessor’s title to the Premises is derived from </w:t>
      </w:r>
      <w:r>
        <w:rPr>
          <w:rFonts w:ascii="Calibri" w:cs="Calibri" w:eastAsia="Calibri" w:hAnsi="Calibri"/>
          <w:b/>
          <w:bCs/>
          <w:sz w:val="21"/>
          <w:szCs w:val="21"/>
        </w:rPr>
        <w:t xml:space="preserve">[DESCRIBE TITLE — e.g. sale deed dated ______ registered as document no. ______ with the Sub-Registrar of ______]</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The Lessee has approached the Lessor for a lease of the Premises for use as </w:t>
      </w:r>
      <w:r>
        <w:rPr>
          <w:rFonts w:ascii="Calibri" w:cs="Calibri" w:eastAsia="Calibri" w:hAnsi="Calibri"/>
          <w:b/>
          <w:bCs/>
          <w:sz w:val="21"/>
          <w:szCs w:val="21"/>
        </w:rPr>
        <w:t xml:space="preserve">[PERMITTED USE — e.g. corporate office]</w:t>
      </w:r>
      <w:r>
        <w:rPr>
          <w:rFonts w:ascii="Calibri" w:cs="Calibri" w:eastAsia="Calibri" w:hAnsi="Calibri"/>
          <w:sz w:val="21"/>
          <w:szCs w:val="21"/>
        </w:rPr>
        <w:t xml:space="preserve">, and the Lessor has agreed to grant such lease on the terms recorded below.</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The Lessee has inspected the Premises and satisfied itself as to their condition, area, title, approvals and fitness for the Permitted Use.</w:t>
      </w:r>
    </w:p>
    <w:p>
      <w:pPr>
        <w:spacing w:after="120" w:before="120" w:line="276"/>
        <w:jc w:val="both"/>
      </w:pPr>
      <w:r>
        <w:rPr>
          <w:rFonts w:ascii="Calibri" w:cs="Calibri" w:eastAsia="Calibri" w:hAnsi="Calibri"/>
          <w:sz w:val="21"/>
          <w:szCs w:val="21"/>
        </w:rPr>
        <w:t xml:space="preserve">NOW THIS DEED WITNESSETH as follows:</w:t>
      </w:r>
    </w:p>
    <w:p>
      <w:pPr>
        <w:keepNext/>
        <w:spacing w:after="120" w:before="280"/>
        <w:outlineLvl w:val="0"/>
      </w:pPr>
      <w:r>
        <w:rPr>
          <w:rFonts w:ascii="Calibri" w:cs="Calibri" w:eastAsia="Calibri" w:hAnsi="Calibri"/>
          <w:b/>
          <w:bCs/>
          <w:color w:val="14161B"/>
          <w:sz w:val="22"/>
          <w:szCs w:val="22"/>
        </w:rPr>
        <w:t xml:space="preserve">1. DEMISE AND TERM</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In consideration of the rent reserved and the covenants contained in this Deed, the Lessor grants and demises to the Lessee, and the Lessee takes on lease, the Premises more particularly described in Schedule I, together with the fixtures and fittings listed in Schedule II and the right to use the common areas, parking spaces and amenities specified in Schedule I.</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The lease is for a term of </w:t>
      </w:r>
      <w:r>
        <w:rPr>
          <w:rFonts w:ascii="Calibri" w:cs="Calibri" w:eastAsia="Calibri" w:hAnsi="Calibri"/>
          <w:b/>
          <w:bCs/>
          <w:sz w:val="21"/>
          <w:szCs w:val="21"/>
        </w:rPr>
        <w:t xml:space="preserve">[TERM — e.g. five (5) years]</w:t>
      </w:r>
      <w:r>
        <w:rPr>
          <w:rFonts w:ascii="Calibri" w:cs="Calibri" w:eastAsia="Calibri" w:hAnsi="Calibri"/>
          <w:sz w:val="21"/>
          <w:szCs w:val="21"/>
        </w:rPr>
        <w:t xml:space="preserve"> commencing on </w:t>
      </w:r>
      <w:r>
        <w:rPr>
          <w:rFonts w:ascii="Calibri" w:cs="Calibri" w:eastAsia="Calibri" w:hAnsi="Calibri"/>
          <w:b/>
          <w:bCs/>
          <w:sz w:val="21"/>
          <w:szCs w:val="21"/>
        </w:rPr>
        <w:t xml:space="preserve">[COMMENCEMENT DATE]</w:t>
      </w:r>
      <w:r>
        <w:rPr>
          <w:rFonts w:ascii="Calibri" w:cs="Calibri" w:eastAsia="Calibri" w:hAnsi="Calibri"/>
          <w:sz w:val="21"/>
          <w:szCs w:val="21"/>
        </w:rPr>
        <w:t xml:space="preserve"> and expiring on </w:t>
      </w:r>
      <w:r>
        <w:rPr>
          <w:rFonts w:ascii="Calibri" w:cs="Calibri" w:eastAsia="Calibri" w:hAnsi="Calibri"/>
          <w:b/>
          <w:bCs/>
          <w:sz w:val="21"/>
          <w:szCs w:val="21"/>
        </w:rPr>
        <w:t xml:space="preserve">[EXPIRY DATE]</w:t>
      </w:r>
      <w:r>
        <w:rPr>
          <w:rFonts w:ascii="Calibri" w:cs="Calibri" w:eastAsia="Calibri" w:hAnsi="Calibri"/>
          <w:sz w:val="21"/>
          <w:szCs w:val="21"/>
        </w:rPr>
        <w:t xml:space="preserve"> (the "</w:t>
      </w:r>
      <w:r>
        <w:rPr>
          <w:rFonts w:ascii="Calibri" w:cs="Calibri" w:eastAsia="Calibri" w:hAnsi="Calibri"/>
          <w:b/>
          <w:bCs/>
          <w:sz w:val="21"/>
          <w:szCs w:val="21"/>
        </w:rPr>
        <w:t xml:space="preserve">Term</w:t>
      </w:r>
      <w:r>
        <w:rPr>
          <w:rFonts w:ascii="Calibri" w:cs="Calibri" w:eastAsia="Calibri" w:hAnsi="Calibri"/>
          <w:sz w:val="21"/>
          <w:szCs w:val="21"/>
        </w:rPr>
        <w:t xml:space="preserve">"), unless determined earlier in accordance with this Deed.</w:t>
      </w:r>
    </w:p>
    <w:p>
      <w:pPr>
        <w:spacing w:after="120" w:before="60" w:line="276"/>
        <w:ind w:left="720" w:hanging="720"/>
        <w:jc w:val="both"/>
      </w:pPr>
      <w:r>
        <w:rPr>
          <w:rFonts w:ascii="Calibri" w:cs="Calibri" w:eastAsia="Calibri" w:hAnsi="Calibri"/>
          <w:sz w:val="21"/>
          <w:szCs w:val="21"/>
        </w:rPr>
        <w:t xml:space="preserve">1.3	</w:t>
      </w:r>
      <w:r>
        <w:rPr>
          <w:rFonts w:ascii="Calibri" w:cs="Calibri" w:eastAsia="Calibri" w:hAnsi="Calibri"/>
          <w:sz w:val="21"/>
          <w:szCs w:val="21"/>
        </w:rPr>
        <w:t xml:space="preserve">The Lessee shall have a lock-in period of </w:t>
      </w:r>
      <w:r>
        <w:rPr>
          <w:rFonts w:ascii="Calibri" w:cs="Calibri" w:eastAsia="Calibri" w:hAnsi="Calibri"/>
          <w:b/>
          <w:bCs/>
          <w:sz w:val="21"/>
          <w:szCs w:val="21"/>
        </w:rPr>
        <w:t xml:space="preserve">[LOCK-IN — e.g. thirty-six (36) months]</w:t>
      </w:r>
      <w:r>
        <w:rPr>
          <w:rFonts w:ascii="Calibri" w:cs="Calibri" w:eastAsia="Calibri" w:hAnsi="Calibri"/>
          <w:sz w:val="21"/>
          <w:szCs w:val="21"/>
        </w:rPr>
        <w:t xml:space="preserve"> from the Commencement Date, during which neither Party may terminate the lease except for breach under Clause 15. </w:t>
      </w:r>
      <w:r>
        <w:rPr>
          <w:rFonts w:ascii="Calibri" w:cs="Calibri" w:eastAsia="Calibri" w:hAnsi="Calibri"/>
          <w:i/>
          <w:iCs/>
          <w:color w:val="6E7480"/>
          <w:sz w:val="21"/>
          <w:szCs w:val="21"/>
        </w:rPr>
        <w:t xml:space="preserve">The term, lock-in and any renewal option are commercial decisions — specify.</w:t>
      </w:r>
    </w:p>
    <w:p>
      <w:pPr>
        <w:spacing w:after="120" w:before="60" w:line="276"/>
        <w:ind w:left="720" w:hanging="720"/>
        <w:jc w:val="both"/>
      </w:pPr>
      <w:r>
        <w:rPr>
          <w:rFonts w:ascii="Calibri" w:cs="Calibri" w:eastAsia="Calibri" w:hAnsi="Calibri"/>
          <w:sz w:val="21"/>
          <w:szCs w:val="21"/>
        </w:rPr>
        <w:t xml:space="preserve">1.4	</w:t>
      </w:r>
      <w:r>
        <w:rPr>
          <w:rFonts w:ascii="Calibri" w:cs="Calibri" w:eastAsia="Calibri" w:hAnsi="Calibri"/>
          <w:sz w:val="21"/>
          <w:szCs w:val="21"/>
        </w:rPr>
        <w:t xml:space="preserve">The Lessee shall have the option to renew the lease for a further term of </w:t>
      </w:r>
      <w:r>
        <w:rPr>
          <w:rFonts w:ascii="Calibri" w:cs="Calibri" w:eastAsia="Calibri" w:hAnsi="Calibri"/>
          <w:b/>
          <w:bCs/>
          <w:sz w:val="21"/>
          <w:szCs w:val="21"/>
        </w:rPr>
        <w:t xml:space="preserve">[RENEWAL TERM]</w:t>
      </w:r>
      <w:r>
        <w:rPr>
          <w:rFonts w:ascii="Calibri" w:cs="Calibri" w:eastAsia="Calibri" w:hAnsi="Calibri"/>
          <w:sz w:val="21"/>
          <w:szCs w:val="21"/>
        </w:rPr>
        <w:t xml:space="preserve"> on the same terms save as to rent, which shall be increased by </w:t>
      </w:r>
      <w:r>
        <w:rPr>
          <w:rFonts w:ascii="Calibri" w:cs="Calibri" w:eastAsia="Calibri" w:hAnsi="Calibri"/>
          <w:b/>
          <w:bCs/>
          <w:sz w:val="21"/>
          <w:szCs w:val="21"/>
        </w:rPr>
        <w:t xml:space="preserve">[PERCENTAGE]</w:t>
      </w:r>
      <w:r>
        <w:rPr>
          <w:rFonts w:ascii="Calibri" w:cs="Calibri" w:eastAsia="Calibri" w:hAnsi="Calibri"/>
          <w:sz w:val="21"/>
          <w:szCs w:val="21"/>
        </w:rPr>
        <w:t xml:space="preserve"> per cent over the rent payable in the last month of the expiring Term, exercisable by written notice given not less than </w:t>
      </w:r>
      <w:r>
        <w:rPr>
          <w:rFonts w:ascii="Calibri" w:cs="Calibri" w:eastAsia="Calibri" w:hAnsi="Calibri"/>
          <w:b/>
          <w:bCs/>
          <w:sz w:val="21"/>
          <w:szCs w:val="21"/>
        </w:rPr>
        <w:t xml:space="preserve">[NUMBER]</w:t>
      </w:r>
      <w:r>
        <w:rPr>
          <w:rFonts w:ascii="Calibri" w:cs="Calibri" w:eastAsia="Calibri" w:hAnsi="Calibri"/>
          <w:sz w:val="21"/>
          <w:szCs w:val="21"/>
        </w:rPr>
        <w:t xml:space="preserve"> months before expiry. Renewal shall be recorded by a fresh registered instrument at the Lessee’s cost.</w:t>
      </w:r>
    </w:p>
    <w:p>
      <w:pPr>
        <w:spacing w:after="120" w:before="60" w:line="276"/>
        <w:ind w:left="720" w:hanging="720"/>
        <w:jc w:val="both"/>
      </w:pPr>
      <w:r>
        <w:rPr>
          <w:rFonts w:ascii="Calibri" w:cs="Calibri" w:eastAsia="Calibri" w:hAnsi="Calibri"/>
          <w:sz w:val="21"/>
          <w:szCs w:val="21"/>
        </w:rPr>
        <w:t xml:space="preserve">1.5	</w:t>
      </w:r>
      <w:r>
        <w:rPr>
          <w:rFonts w:ascii="Calibri" w:cs="Calibri" w:eastAsia="Calibri" w:hAnsi="Calibri"/>
          <w:sz w:val="21"/>
          <w:szCs w:val="21"/>
        </w:rPr>
        <w:t xml:space="preserve">The Lessor shall deliver vacant, peaceful possession of the Premises to the Lessee on </w:t>
      </w:r>
      <w:r>
        <w:rPr>
          <w:rFonts w:ascii="Calibri" w:cs="Calibri" w:eastAsia="Calibri" w:hAnsi="Calibri"/>
          <w:b/>
          <w:bCs/>
          <w:sz w:val="21"/>
          <w:szCs w:val="21"/>
        </w:rPr>
        <w:t xml:space="preserve">[HANDOVER DATE]</w:t>
      </w:r>
      <w:r>
        <w:rPr>
          <w:rFonts w:ascii="Calibri" w:cs="Calibri" w:eastAsia="Calibri" w:hAnsi="Calibri"/>
          <w:sz w:val="21"/>
          <w:szCs w:val="21"/>
        </w:rPr>
        <w:t xml:space="preserve"> in the condition specified in Schedule IV, and the Parties shall sign a handover note recording the condition, meter readings and keys delivered.</w:t>
      </w:r>
    </w:p>
    <w:p>
      <w:pPr>
        <w:spacing w:after="120" w:before="60" w:line="276"/>
        <w:ind w:left="720" w:hanging="720"/>
        <w:jc w:val="both"/>
      </w:pPr>
      <w:r>
        <w:rPr>
          <w:rFonts w:ascii="Calibri" w:cs="Calibri" w:eastAsia="Calibri" w:hAnsi="Calibri"/>
          <w:sz w:val="21"/>
          <w:szCs w:val="21"/>
        </w:rPr>
        <w:t xml:space="preserve">1.6	</w:t>
      </w:r>
      <w:r>
        <w:rPr>
          <w:rFonts w:ascii="Calibri" w:cs="Calibri" w:eastAsia="Calibri" w:hAnsi="Calibri"/>
          <w:sz w:val="21"/>
          <w:szCs w:val="21"/>
        </w:rPr>
        <w:t xml:space="preserve">A rent-free fit-out period of </w:t>
      </w:r>
      <w:r>
        <w:rPr>
          <w:rFonts w:ascii="Calibri" w:cs="Calibri" w:eastAsia="Calibri" w:hAnsi="Calibri"/>
          <w:b/>
          <w:bCs/>
          <w:sz w:val="21"/>
          <w:szCs w:val="21"/>
        </w:rPr>
        <w:t xml:space="preserve">[NUMBER]</w:t>
      </w:r>
      <w:r>
        <w:rPr>
          <w:rFonts w:ascii="Calibri" w:cs="Calibri" w:eastAsia="Calibri" w:hAnsi="Calibri"/>
          <w:sz w:val="21"/>
          <w:szCs w:val="21"/>
        </w:rPr>
        <w:t xml:space="preserve"> days from the handover date shall apply, during which no rent is payable but maintenance charges and utilities shall be borne by the Lessee.</w:t>
      </w:r>
    </w:p>
    <w:p>
      <w:pPr>
        <w:keepNext/>
        <w:spacing w:after="120" w:before="280"/>
        <w:outlineLvl w:val="0"/>
      </w:pPr>
      <w:r>
        <w:rPr>
          <w:rFonts w:ascii="Calibri" w:cs="Calibri" w:eastAsia="Calibri" w:hAnsi="Calibri"/>
          <w:b/>
          <w:bCs/>
          <w:color w:val="14161B"/>
          <w:sz w:val="22"/>
          <w:szCs w:val="22"/>
        </w:rPr>
        <w:t xml:space="preserve">2. RENT</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The Lessee shall pay to the Lessor a monthly rent of ₹ </w:t>
      </w:r>
      <w:r>
        <w:rPr>
          <w:rFonts w:ascii="Calibri" w:cs="Calibri" w:eastAsia="Calibri" w:hAnsi="Calibri"/>
          <w:b/>
          <w:bCs/>
          <w:sz w:val="21"/>
          <w:szCs w:val="21"/>
        </w:rPr>
        <w:t xml:space="preserve">[MONTHLY RENT]</w:t>
      </w:r>
      <w:r>
        <w:rPr>
          <w:rFonts w:ascii="Calibri" w:cs="Calibri" w:eastAsia="Calibri" w:hAnsi="Calibri"/>
          <w:sz w:val="21"/>
          <w:szCs w:val="21"/>
        </w:rPr>
        <w:t xml:space="preserve"> (Rupees </w:t>
      </w:r>
      <w:r>
        <w:rPr>
          <w:rFonts w:ascii="Calibri" w:cs="Calibri" w:eastAsia="Calibri" w:hAnsi="Calibri"/>
          <w:b/>
          <w:bCs/>
          <w:sz w:val="21"/>
          <w:szCs w:val="21"/>
        </w:rPr>
        <w:t xml:space="preserve">[AMOUNT IN WORDS]</w:t>
      </w:r>
      <w:r>
        <w:rPr>
          <w:rFonts w:ascii="Calibri" w:cs="Calibri" w:eastAsia="Calibri" w:hAnsi="Calibri"/>
          <w:sz w:val="21"/>
          <w:szCs w:val="21"/>
        </w:rPr>
        <w:t xml:space="preserve"> only) (the "</w:t>
      </w:r>
      <w:r>
        <w:rPr>
          <w:rFonts w:ascii="Calibri" w:cs="Calibri" w:eastAsia="Calibri" w:hAnsi="Calibri"/>
          <w:b/>
          <w:bCs/>
          <w:sz w:val="21"/>
          <w:szCs w:val="21"/>
        </w:rPr>
        <w:t xml:space="preserve">Rent</w:t>
      </w:r>
      <w:r>
        <w:rPr>
          <w:rFonts w:ascii="Calibri" w:cs="Calibri" w:eastAsia="Calibri" w:hAnsi="Calibri"/>
          <w:sz w:val="21"/>
          <w:szCs w:val="21"/>
        </w:rPr>
        <w:t xml:space="preserve">"), exclusive of maintenance charges, utilities and applicable taxes.</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Rent shall be payable in advance on or before the </w:t>
      </w:r>
      <w:r>
        <w:rPr>
          <w:rFonts w:ascii="Calibri" w:cs="Calibri" w:eastAsia="Calibri" w:hAnsi="Calibri"/>
          <w:b/>
          <w:bCs/>
          <w:sz w:val="21"/>
          <w:szCs w:val="21"/>
        </w:rPr>
        <w:t xml:space="preserve">[DAY]</w:t>
      </w:r>
      <w:r>
        <w:rPr>
          <w:rFonts w:ascii="Calibri" w:cs="Calibri" w:eastAsia="Calibri" w:hAnsi="Calibri"/>
          <w:sz w:val="21"/>
          <w:szCs w:val="21"/>
        </w:rPr>
        <w:t xml:space="preserve"> day of each calendar month, by electronic transfer to the account specified in Schedule III. Rent for a part month shall be calculated pro rata on the actual number of days.</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The Rent shall be escalated by </w:t>
      </w:r>
      <w:r>
        <w:rPr>
          <w:rFonts w:ascii="Calibri" w:cs="Calibri" w:eastAsia="Calibri" w:hAnsi="Calibri"/>
          <w:b/>
          <w:bCs/>
          <w:sz w:val="21"/>
          <w:szCs w:val="21"/>
        </w:rPr>
        <w:t xml:space="preserve">[ESCALATION — e.g. five (5)]</w:t>
      </w:r>
      <w:r>
        <w:rPr>
          <w:rFonts w:ascii="Calibri" w:cs="Calibri" w:eastAsia="Calibri" w:hAnsi="Calibri"/>
          <w:sz w:val="21"/>
          <w:szCs w:val="21"/>
        </w:rPr>
        <w:t xml:space="preserve"> per cent over the last payable rent on completion of every </w:t>
      </w:r>
      <w:r>
        <w:rPr>
          <w:rFonts w:ascii="Calibri" w:cs="Calibri" w:eastAsia="Calibri" w:hAnsi="Calibri"/>
          <w:b/>
          <w:bCs/>
          <w:sz w:val="21"/>
          <w:szCs w:val="21"/>
        </w:rPr>
        <w:t xml:space="preserve">[PERIOD — e.g. thirty-six (36) months]</w:t>
      </w:r>
      <w:r>
        <w:rPr>
          <w:rFonts w:ascii="Calibri" w:cs="Calibri" w:eastAsia="Calibri" w:hAnsi="Calibri"/>
          <w:sz w:val="21"/>
          <w:szCs w:val="21"/>
        </w:rPr>
        <w:t xml:space="preserve"> from the Commencement Date, as set out in the escalation table in Schedule III. </w:t>
      </w:r>
      <w:r>
        <w:rPr>
          <w:rFonts w:ascii="Calibri" w:cs="Calibri" w:eastAsia="Calibri" w:hAnsi="Calibri"/>
          <w:i/>
          <w:iCs/>
          <w:color w:val="6E7480"/>
          <w:sz w:val="21"/>
          <w:szCs w:val="21"/>
        </w:rPr>
        <w:t xml:space="preserve">Escalation quantum and frequency are commercial decisions — specify.</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sz w:val="21"/>
          <w:szCs w:val="21"/>
        </w:rPr>
        <w:t xml:space="preserve">The Lessee shall deduct tax at source from the Rent at the rate in force under Section 393 of the Income-tax Act, 2025, which with effect from 1 April 2026 consolidates the provisions formerly contained in Section 194-I of the Income-tax Act, 1961, and shall deposit it and furnish the prescribed certificate within the time allowed. Amounts so deducted shall be treated as Rent paid. The Lessor shall furnish its Permanent Account Number, failing which deduction shall be made at the higher rate prescribed.</w:t>
      </w:r>
    </w:p>
    <w:p>
      <w:pPr>
        <w:spacing w:after="120" w:before="60" w:line="276"/>
        <w:ind w:left="720" w:hanging="720"/>
        <w:jc w:val="both"/>
      </w:pPr>
      <w:r>
        <w:rPr>
          <w:rFonts w:ascii="Calibri" w:cs="Calibri" w:eastAsia="Calibri" w:hAnsi="Calibri"/>
          <w:sz w:val="21"/>
          <w:szCs w:val="21"/>
        </w:rPr>
        <w:t xml:space="preserve">2.5	</w:t>
      </w:r>
      <w:r>
        <w:rPr>
          <w:rFonts w:ascii="Calibri" w:cs="Calibri" w:eastAsia="Calibri" w:hAnsi="Calibri"/>
          <w:sz w:val="21"/>
          <w:szCs w:val="21"/>
        </w:rPr>
        <w:t xml:space="preserve">Goods and services tax, if applicable to the letting, shall be borne by the Lessee against a valid tax invoice. Where the Lessor is unregistered and the Lessee is registered, the Parties shall give effect to the reverse-charge position then in force in respect of renting of commercial immovable property, and the Lessee shall discharge the tax accordingly.</w:t>
      </w:r>
    </w:p>
    <w:p>
      <w:pPr>
        <w:spacing w:after="120" w:before="60" w:line="276"/>
        <w:ind w:left="720" w:hanging="720"/>
        <w:jc w:val="both"/>
      </w:pPr>
      <w:r>
        <w:rPr>
          <w:rFonts w:ascii="Calibri" w:cs="Calibri" w:eastAsia="Calibri" w:hAnsi="Calibri"/>
          <w:sz w:val="21"/>
          <w:szCs w:val="21"/>
        </w:rPr>
        <w:t xml:space="preserve">2.6	</w:t>
      </w:r>
      <w:r>
        <w:rPr>
          <w:rFonts w:ascii="Calibri" w:cs="Calibri" w:eastAsia="Calibri" w:hAnsi="Calibri"/>
          <w:sz w:val="21"/>
          <w:szCs w:val="21"/>
        </w:rPr>
        <w:t xml:space="preserve">If Rent remains unpaid for more than </w:t>
      </w:r>
      <w:r>
        <w:rPr>
          <w:rFonts w:ascii="Calibri" w:cs="Calibri" w:eastAsia="Calibri" w:hAnsi="Calibri"/>
          <w:b/>
          <w:bCs/>
          <w:sz w:val="21"/>
          <w:szCs w:val="21"/>
        </w:rPr>
        <w:t xml:space="preserve">[NUMBER]</w:t>
      </w:r>
      <w:r>
        <w:rPr>
          <w:rFonts w:ascii="Calibri" w:cs="Calibri" w:eastAsia="Calibri" w:hAnsi="Calibri"/>
          <w:sz w:val="21"/>
          <w:szCs w:val="21"/>
        </w:rPr>
        <w:t xml:space="preserve"> days after the due date, the Lessee shall pay interest at </w:t>
      </w:r>
      <w:r>
        <w:rPr>
          <w:rFonts w:ascii="Calibri" w:cs="Calibri" w:eastAsia="Calibri" w:hAnsi="Calibri"/>
          <w:b/>
          <w:bCs/>
          <w:sz w:val="21"/>
          <w:szCs w:val="21"/>
        </w:rPr>
        <w:t xml:space="preserve">[RATE]</w:t>
      </w:r>
      <w:r>
        <w:rPr>
          <w:rFonts w:ascii="Calibri" w:cs="Calibri" w:eastAsia="Calibri" w:hAnsi="Calibri"/>
          <w:sz w:val="21"/>
          <w:szCs w:val="21"/>
        </w:rPr>
        <w:t xml:space="preserve"> per cent per month on the outstanding amount from the due date until payment, without prejudice to the Lessor’s right to terminate under Clause 15.</w:t>
      </w:r>
    </w:p>
    <w:p>
      <w:pPr>
        <w:keepNext/>
        <w:spacing w:after="120" w:before="280"/>
        <w:outlineLvl w:val="0"/>
      </w:pPr>
      <w:r>
        <w:rPr>
          <w:rFonts w:ascii="Calibri" w:cs="Calibri" w:eastAsia="Calibri" w:hAnsi="Calibri"/>
          <w:b/>
          <w:bCs/>
          <w:color w:val="14161B"/>
          <w:sz w:val="22"/>
          <w:szCs w:val="22"/>
        </w:rPr>
        <w:t xml:space="preserve">3. SECURITY DEPOSIT</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The Lessee has, on or before execution of this Deed, paid to the Lessor an interest-free refundable security deposit of ₹ </w:t>
      </w:r>
      <w:r>
        <w:rPr>
          <w:rFonts w:ascii="Calibri" w:cs="Calibri" w:eastAsia="Calibri" w:hAnsi="Calibri"/>
          <w:b/>
          <w:bCs/>
          <w:sz w:val="21"/>
          <w:szCs w:val="21"/>
        </w:rPr>
        <w:t xml:space="preserve">[DEPOSIT AMOUNT]</w:t>
      </w:r>
      <w:r>
        <w:rPr>
          <w:rFonts w:ascii="Calibri" w:cs="Calibri" w:eastAsia="Calibri" w:hAnsi="Calibri"/>
          <w:sz w:val="21"/>
          <w:szCs w:val="21"/>
        </w:rPr>
        <w:t xml:space="preserve"> (Rupees </w:t>
      </w:r>
      <w:r>
        <w:rPr>
          <w:rFonts w:ascii="Calibri" w:cs="Calibri" w:eastAsia="Calibri" w:hAnsi="Calibri"/>
          <w:b/>
          <w:bCs/>
          <w:sz w:val="21"/>
          <w:szCs w:val="21"/>
        </w:rPr>
        <w:t xml:space="preserve">[AMOUNT IN WORDS]</w:t>
      </w:r>
      <w:r>
        <w:rPr>
          <w:rFonts w:ascii="Calibri" w:cs="Calibri" w:eastAsia="Calibri" w:hAnsi="Calibri"/>
          <w:sz w:val="21"/>
          <w:szCs w:val="21"/>
        </w:rPr>
        <w:t xml:space="preserve"> only), equivalent to </w:t>
      </w:r>
      <w:r>
        <w:rPr>
          <w:rFonts w:ascii="Calibri" w:cs="Calibri" w:eastAsia="Calibri" w:hAnsi="Calibri"/>
          <w:b/>
          <w:bCs/>
          <w:sz w:val="21"/>
          <w:szCs w:val="21"/>
        </w:rPr>
        <w:t xml:space="preserve">[NUMBER]</w:t>
      </w:r>
      <w:r>
        <w:rPr>
          <w:rFonts w:ascii="Calibri" w:cs="Calibri" w:eastAsia="Calibri" w:hAnsi="Calibri"/>
          <w:sz w:val="21"/>
          <w:szCs w:val="21"/>
        </w:rPr>
        <w:t xml:space="preserve"> months’ Rent, receipt of which the Lessor acknowledges.</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The security deposit shall be held by the Lessor as security for the due performance of the Lessee’s obligations and shall not be adjusted against Rent during the Term except with the Lessor’s written consent, save that it may be adjusted against Rent for the final </w:t>
      </w:r>
      <w:r>
        <w:rPr>
          <w:rFonts w:ascii="Calibri" w:cs="Calibri" w:eastAsia="Calibri" w:hAnsi="Calibri"/>
          <w:b/>
          <w:bCs/>
          <w:sz w:val="21"/>
          <w:szCs w:val="21"/>
        </w:rPr>
        <w:t xml:space="preserve">[NUMBER]</w:t>
      </w:r>
      <w:r>
        <w:rPr>
          <w:rFonts w:ascii="Calibri" w:cs="Calibri" w:eastAsia="Calibri" w:hAnsi="Calibri"/>
          <w:sz w:val="21"/>
          <w:szCs w:val="21"/>
        </w:rPr>
        <w:t xml:space="preserve"> months if the Lessor has failed to confirm in writing that no deduction will be made.</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The security deposit shall be refunded to the Lessee simultaneously with handover of vacant possession on expiry or determination of the lease, after deduction only of: (a) Rent, maintenance charges and utilities actually in arrears; (b) the reasonable cost of making good damage beyond normal wear and tear, supported by invoices or a quotation from an independent contractor; and (c) any amount the Lessee is liable to pay under this Deed.</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sz w:val="21"/>
          <w:szCs w:val="21"/>
        </w:rPr>
        <w:t xml:space="preserve">The Lessor shall furnish a written statement of deductions at the time of refund. If the security deposit or any part of it is not refunded within </w:t>
      </w:r>
      <w:r>
        <w:rPr>
          <w:rFonts w:ascii="Calibri" w:cs="Calibri" w:eastAsia="Calibri" w:hAnsi="Calibri"/>
          <w:b/>
          <w:bCs/>
          <w:sz w:val="21"/>
          <w:szCs w:val="21"/>
        </w:rPr>
        <w:t xml:space="preserve">[NUMBER]</w:t>
      </w:r>
      <w:r>
        <w:rPr>
          <w:rFonts w:ascii="Calibri" w:cs="Calibri" w:eastAsia="Calibri" w:hAnsi="Calibri"/>
          <w:sz w:val="21"/>
          <w:szCs w:val="21"/>
        </w:rPr>
        <w:t xml:space="preserve"> days of handover, the Lessor shall pay interest on the unrefunded amount at </w:t>
      </w:r>
      <w:r>
        <w:rPr>
          <w:rFonts w:ascii="Calibri" w:cs="Calibri" w:eastAsia="Calibri" w:hAnsi="Calibri"/>
          <w:b/>
          <w:bCs/>
          <w:sz w:val="21"/>
          <w:szCs w:val="21"/>
        </w:rPr>
        <w:t xml:space="preserve">[RATE]</w:t>
      </w:r>
      <w:r>
        <w:rPr>
          <w:rFonts w:ascii="Calibri" w:cs="Calibri" w:eastAsia="Calibri" w:hAnsi="Calibri"/>
          <w:sz w:val="21"/>
          <w:szCs w:val="21"/>
        </w:rPr>
        <w:t xml:space="preserve"> per cent per month, and the Lessee shall be entitled to continue in occupation of the Premises without payment of Rent until the amount is refunded, such occupation not amounting to holding over.</w:t>
      </w:r>
    </w:p>
    <w:p>
      <w:pPr>
        <w:spacing w:after="120" w:before="60" w:line="276"/>
        <w:ind w:left="720" w:hanging="720"/>
        <w:jc w:val="both"/>
      </w:pPr>
      <w:r>
        <w:rPr>
          <w:rFonts w:ascii="Calibri" w:cs="Calibri" w:eastAsia="Calibri" w:hAnsi="Calibri"/>
          <w:sz w:val="21"/>
          <w:szCs w:val="21"/>
        </w:rPr>
        <w:t xml:space="preserve">3.5	</w:t>
      </w:r>
      <w:r>
        <w:rPr>
          <w:rFonts w:ascii="Calibri" w:cs="Calibri" w:eastAsia="Calibri" w:hAnsi="Calibri"/>
          <w:sz w:val="21"/>
          <w:szCs w:val="21"/>
        </w:rPr>
        <w:t xml:space="preserve">Where the security deposit is enhanced on renewal, the enhancement shall be paid within </w:t>
      </w:r>
      <w:r>
        <w:rPr>
          <w:rFonts w:ascii="Calibri" w:cs="Calibri" w:eastAsia="Calibri" w:hAnsi="Calibri"/>
          <w:b/>
          <w:bCs/>
          <w:sz w:val="21"/>
          <w:szCs w:val="21"/>
        </w:rPr>
        <w:t xml:space="preserve">[NUMBER]</w:t>
      </w:r>
      <w:r>
        <w:rPr>
          <w:rFonts w:ascii="Calibri" w:cs="Calibri" w:eastAsia="Calibri" w:hAnsi="Calibri"/>
          <w:sz w:val="21"/>
          <w:szCs w:val="21"/>
        </w:rPr>
        <w:t xml:space="preserve"> days of the renewal taking effect.</w:t>
      </w:r>
    </w:p>
    <w:p>
      <w:pPr>
        <w:keepNext/>
        <w:spacing w:after="120" w:before="280"/>
        <w:outlineLvl w:val="0"/>
      </w:pPr>
      <w:r>
        <w:rPr>
          <w:rFonts w:ascii="Calibri" w:cs="Calibri" w:eastAsia="Calibri" w:hAnsi="Calibri"/>
          <w:b/>
          <w:bCs/>
          <w:color w:val="14161B"/>
          <w:sz w:val="22"/>
          <w:szCs w:val="22"/>
        </w:rPr>
        <w:t xml:space="preserve">4. MAINTENANCE CHARGES, UTILITIES AND OUTGOINGS</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The Lessee shall pay common area maintenance charges of ₹ </w:t>
      </w:r>
      <w:r>
        <w:rPr>
          <w:rFonts w:ascii="Calibri" w:cs="Calibri" w:eastAsia="Calibri" w:hAnsi="Calibri"/>
          <w:b/>
          <w:bCs/>
          <w:sz w:val="21"/>
          <w:szCs w:val="21"/>
        </w:rPr>
        <w:t xml:space="preserve">[CAM]</w:t>
      </w:r>
      <w:r>
        <w:rPr>
          <w:rFonts w:ascii="Calibri" w:cs="Calibri" w:eastAsia="Calibri" w:hAnsi="Calibri"/>
          <w:sz w:val="21"/>
          <w:szCs w:val="21"/>
        </w:rPr>
        <w:t xml:space="preserve"> per square foot per month on the leased area, subject to revision by the building association or facility manager, directly to </w:t>
      </w:r>
      <w:r>
        <w:rPr>
          <w:rFonts w:ascii="Calibri" w:cs="Calibri" w:eastAsia="Calibri" w:hAnsi="Calibri"/>
          <w:b/>
          <w:bCs/>
          <w:sz w:val="21"/>
          <w:szCs w:val="21"/>
        </w:rPr>
        <w:t xml:space="preserve">[PAYEE]</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The Lessee shall pay for electricity, water, telecommunications, internet, diesel generator charges and all other utilities consumed at the Premises, on actuals as per meter readings or the building’s allocation basis, and shall keep the connections in good standing.</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sz w:val="21"/>
          <w:szCs w:val="21"/>
        </w:rPr>
        <w:t xml:space="preserve">The Lessor shall pay all property tax, municipal rates, cess, ground rent, society transfer charges, land revenue and any other statutory outgoing assessed on the ownership of the Premises, and shall keep the Lessee indemnified against them.</w:t>
      </w:r>
    </w:p>
    <w:p>
      <w:pPr>
        <w:spacing w:after="120" w:before="60" w:line="276"/>
        <w:ind w:left="720" w:hanging="720"/>
        <w:jc w:val="both"/>
      </w:pPr>
      <w:r>
        <w:rPr>
          <w:rFonts w:ascii="Calibri" w:cs="Calibri" w:eastAsia="Calibri" w:hAnsi="Calibri"/>
          <w:sz w:val="21"/>
          <w:szCs w:val="21"/>
        </w:rPr>
        <w:t xml:space="preserve">4.4	</w:t>
      </w:r>
      <w:r>
        <w:rPr>
          <w:rFonts w:ascii="Calibri" w:cs="Calibri" w:eastAsia="Calibri" w:hAnsi="Calibri"/>
          <w:sz w:val="21"/>
          <w:szCs w:val="21"/>
        </w:rPr>
        <w:t xml:space="preserve">Any tax, levy or charge newly imposed on the letting or on the occupation of the Premises shall be borne by </w:t>
      </w:r>
      <w:r>
        <w:rPr>
          <w:rFonts w:ascii="Calibri" w:cs="Calibri" w:eastAsia="Calibri" w:hAnsi="Calibri"/>
          <w:b/>
          <w:bCs/>
          <w:sz w:val="21"/>
          <w:szCs w:val="21"/>
        </w:rPr>
        <w:t xml:space="preserve">[LESSOR / LESSEE]</w:t>
      </w:r>
      <w:r>
        <w:rPr>
          <w:rFonts w:ascii="Calibri" w:cs="Calibri" w:eastAsia="Calibri" w:hAnsi="Calibri"/>
          <w:sz w:val="21"/>
          <w:szCs w:val="21"/>
        </w:rPr>
        <w:t xml:space="preserve">.</w:t>
      </w:r>
    </w:p>
    <w:p>
      <w:pPr>
        <w:keepNext/>
        <w:spacing w:after="120" w:before="280"/>
        <w:outlineLvl w:val="0"/>
      </w:pPr>
      <w:r>
        <w:rPr>
          <w:rFonts w:ascii="Calibri" w:cs="Calibri" w:eastAsia="Calibri" w:hAnsi="Calibri"/>
          <w:b/>
          <w:bCs/>
          <w:color w:val="14161B"/>
          <w:sz w:val="22"/>
          <w:szCs w:val="22"/>
        </w:rPr>
        <w:t xml:space="preserve">5. PERMITTED USE</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The Lessee shall use the Premises solely for </w:t>
      </w:r>
      <w:r>
        <w:rPr>
          <w:rFonts w:ascii="Calibri" w:cs="Calibri" w:eastAsia="Calibri" w:hAnsi="Calibri"/>
          <w:b/>
          <w:bCs/>
          <w:sz w:val="21"/>
          <w:szCs w:val="21"/>
        </w:rPr>
        <w:t xml:space="preserve">[PERMITTED USE]</w:t>
      </w:r>
      <w:r>
        <w:rPr>
          <w:rFonts w:ascii="Calibri" w:cs="Calibri" w:eastAsia="Calibri" w:hAnsi="Calibri"/>
          <w:sz w:val="21"/>
          <w:szCs w:val="21"/>
        </w:rPr>
        <w:t xml:space="preserve"> and for no other purpose, and shall not use the Premises for any purpose that is unlawful, immoral, hazardous, or that constitutes a nuisance or annoyance to other occupiers.</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The Lessee shall not store hazardous, inflammable or explosive material at the Premises except such quantities as are ordinarily incidental to the Permitted Use and are stored in compliance with law.</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sz w:val="21"/>
          <w:szCs w:val="21"/>
        </w:rPr>
        <w:t xml:space="preserve">The Lessee shall obtain and maintain, at its cost, all licences, registrations, consents and approvals required for its business at the Premises, including any trade licence, shops and establishments registration, fire clearance for its own fit-outs and professional tax registration. The Lessor shall provide the ownership documents, occupancy certificate and no-objection certificates reasonably required for those applications, and shall cooperate in signing consent letters.</w:t>
      </w:r>
    </w:p>
    <w:p>
      <w:pPr>
        <w:spacing w:after="120" w:before="60" w:line="276"/>
        <w:ind w:left="720" w:hanging="720"/>
        <w:jc w:val="both"/>
      </w:pPr>
      <w:r>
        <w:rPr>
          <w:rFonts w:ascii="Calibri" w:cs="Calibri" w:eastAsia="Calibri" w:hAnsi="Calibri"/>
          <w:sz w:val="21"/>
          <w:szCs w:val="21"/>
        </w:rPr>
        <w:t xml:space="preserve">5.4	</w:t>
      </w:r>
      <w:r>
        <w:rPr>
          <w:rFonts w:ascii="Calibri" w:cs="Calibri" w:eastAsia="Calibri" w:hAnsi="Calibri"/>
          <w:sz w:val="21"/>
          <w:szCs w:val="21"/>
        </w:rPr>
        <w:t xml:space="preserve">The Lessor represents that the Premises are approved for commercial use, that a valid occupancy certificate has been obtained, and that there is no violation of building bye-laws or sanctioned plan that would prevent the Permitted Use.</w:t>
      </w:r>
    </w:p>
    <w:p>
      <w:pPr>
        <w:keepNext/>
        <w:spacing w:after="120" w:before="280"/>
        <w:outlineLvl w:val="0"/>
      </w:pPr>
      <w:r>
        <w:rPr>
          <w:rFonts w:ascii="Calibri" w:cs="Calibri" w:eastAsia="Calibri" w:hAnsi="Calibri"/>
          <w:b/>
          <w:bCs/>
          <w:color w:val="14161B"/>
          <w:sz w:val="22"/>
          <w:szCs w:val="22"/>
        </w:rPr>
        <w:t xml:space="preserve">6. FIT-OUTS AND ALTERATIONS</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The Lessee may carry out interior fit-outs, partitions, false ceilings, flooring, air-conditioning, cabling, networking and branding within the Premises at its own cost, in accordance with plans notified to the Lessor.</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The Lessee shall not make any structural alteration, or alter the façade or the external appearance of the building, or interfere with any load-bearing element, common services or fire safety system, without the Lessor’s prior written consent, not to be unreasonably withheld or delayed.</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sz w:val="21"/>
          <w:szCs w:val="21"/>
        </w:rPr>
        <w:t xml:space="preserve">All fit-outs and installations made by the Lessee remain the Lessee’s property and may be removed by the Lessee on or before expiry, provided the Lessee makes good any damage caused by removal. Fixtures affixed to the structure that cannot be removed without material damage shall vest in the Lessor at expiry without payment.</w:t>
      </w:r>
    </w:p>
    <w:p>
      <w:pPr>
        <w:spacing w:after="120" w:before="60" w:line="276"/>
        <w:ind w:left="720" w:hanging="720"/>
        <w:jc w:val="both"/>
      </w:pPr>
      <w:r>
        <w:rPr>
          <w:rFonts w:ascii="Calibri" w:cs="Calibri" w:eastAsia="Calibri" w:hAnsi="Calibri"/>
          <w:sz w:val="21"/>
          <w:szCs w:val="21"/>
        </w:rPr>
        <w:t xml:space="preserve">6.4	</w:t>
      </w:r>
      <w:r>
        <w:rPr>
          <w:rFonts w:ascii="Calibri" w:cs="Calibri" w:eastAsia="Calibri" w:hAnsi="Calibri"/>
          <w:sz w:val="21"/>
          <w:szCs w:val="21"/>
        </w:rPr>
        <w:t xml:space="preserve">The Lessee shall ensure that its contractors carry adequate insurance and comply with applicable safety law while working at the Premises.</w:t>
      </w:r>
    </w:p>
    <w:p>
      <w:pPr>
        <w:keepNext/>
        <w:spacing w:after="120" w:before="280"/>
        <w:outlineLvl w:val="0"/>
      </w:pPr>
      <w:r>
        <w:rPr>
          <w:rFonts w:ascii="Calibri" w:cs="Calibri" w:eastAsia="Calibri" w:hAnsi="Calibri"/>
          <w:b/>
          <w:bCs/>
          <w:color w:val="14161B"/>
          <w:sz w:val="22"/>
          <w:szCs w:val="22"/>
        </w:rPr>
        <w:t xml:space="preserve">7. REPAIRS AND MAINTENANCE</w:t>
      </w: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sz w:val="21"/>
          <w:szCs w:val="21"/>
        </w:rPr>
        <w:t xml:space="preserve">The Lessor shall at its own cost carry out all structural repairs, including to the roof, external walls, foundations, columns, beams, load-bearing structures, external plumbing, drainage, water-proofing and the main electrical supply up to the Lessee’s meter, and shall attend to any latent defect in the Premises.</w:t>
      </w:r>
    </w:p>
    <w:p>
      <w:pPr>
        <w:spacing w:after="120" w:before="60" w:line="276"/>
        <w:ind w:left="720" w:hanging="720"/>
        <w:jc w:val="both"/>
      </w:pPr>
      <w:r>
        <w:rPr>
          <w:rFonts w:ascii="Calibri" w:cs="Calibri" w:eastAsia="Calibri" w:hAnsi="Calibri"/>
          <w:sz w:val="21"/>
          <w:szCs w:val="21"/>
        </w:rPr>
        <w:t xml:space="preserve">7.2	</w:t>
      </w:r>
      <w:r>
        <w:rPr>
          <w:rFonts w:ascii="Calibri" w:cs="Calibri" w:eastAsia="Calibri" w:hAnsi="Calibri"/>
          <w:sz w:val="21"/>
          <w:szCs w:val="21"/>
        </w:rPr>
        <w:t xml:space="preserve">The Lessee shall at its own cost carry out day-to-day and non-structural repairs within the Premises and shall maintain the Premises in good and tenantable condition, normal wear and tear excepted.</w:t>
      </w:r>
    </w:p>
    <w:p>
      <w:pPr>
        <w:spacing w:after="120" w:before="60" w:line="276"/>
        <w:ind w:left="720" w:hanging="720"/>
        <w:jc w:val="both"/>
      </w:pPr>
      <w:r>
        <w:rPr>
          <w:rFonts w:ascii="Calibri" w:cs="Calibri" w:eastAsia="Calibri" w:hAnsi="Calibri"/>
          <w:sz w:val="21"/>
          <w:szCs w:val="21"/>
        </w:rPr>
        <w:t xml:space="preserve">7.3	</w:t>
      </w:r>
      <w:r>
        <w:rPr>
          <w:rFonts w:ascii="Calibri" w:cs="Calibri" w:eastAsia="Calibri" w:hAnsi="Calibri"/>
          <w:sz w:val="21"/>
          <w:szCs w:val="21"/>
        </w:rPr>
        <w:t xml:space="preserve">If the Lessor fails to carry out a structural repair within </w:t>
      </w:r>
      <w:r>
        <w:rPr>
          <w:rFonts w:ascii="Calibri" w:cs="Calibri" w:eastAsia="Calibri" w:hAnsi="Calibri"/>
          <w:b/>
          <w:bCs/>
          <w:sz w:val="21"/>
          <w:szCs w:val="21"/>
        </w:rPr>
        <w:t xml:space="preserve">[NUMBER]</w:t>
      </w:r>
      <w:r>
        <w:rPr>
          <w:rFonts w:ascii="Calibri" w:cs="Calibri" w:eastAsia="Calibri" w:hAnsi="Calibri"/>
          <w:sz w:val="21"/>
          <w:szCs w:val="21"/>
        </w:rPr>
        <w:t xml:space="preserve"> days of written notice (or immediately in an emergency), the Lessee may carry it out and deduct the reasonable cost, supported by invoices, from the Rent next falling due.</w:t>
      </w:r>
    </w:p>
    <w:p>
      <w:pPr>
        <w:spacing w:after="120" w:before="60" w:line="276"/>
        <w:ind w:left="720" w:hanging="720"/>
        <w:jc w:val="both"/>
      </w:pPr>
      <w:r>
        <w:rPr>
          <w:rFonts w:ascii="Calibri" w:cs="Calibri" w:eastAsia="Calibri" w:hAnsi="Calibri"/>
          <w:sz w:val="21"/>
          <w:szCs w:val="21"/>
        </w:rPr>
        <w:t xml:space="preserve">7.4	</w:t>
      </w:r>
      <w:r>
        <w:rPr>
          <w:rFonts w:ascii="Calibri" w:cs="Calibri" w:eastAsia="Calibri" w:hAnsi="Calibri"/>
          <w:sz w:val="21"/>
          <w:szCs w:val="21"/>
        </w:rPr>
        <w:t xml:space="preserve">The Lessor and its authorised representatives may enter the Premises on </w:t>
      </w:r>
      <w:r>
        <w:rPr>
          <w:rFonts w:ascii="Calibri" w:cs="Calibri" w:eastAsia="Calibri" w:hAnsi="Calibri"/>
          <w:b/>
          <w:bCs/>
          <w:sz w:val="21"/>
          <w:szCs w:val="21"/>
        </w:rPr>
        <w:t xml:space="preserve">[NUMBER]</w:t>
      </w:r>
      <w:r>
        <w:rPr>
          <w:rFonts w:ascii="Calibri" w:cs="Calibri" w:eastAsia="Calibri" w:hAnsi="Calibri"/>
          <w:sz w:val="21"/>
          <w:szCs w:val="21"/>
        </w:rPr>
        <w:t xml:space="preserve"> days’ prior written notice (or without notice in an emergency), during business hours and accompanied by a representative of the Lessee, to inspect the condition of the Premises or to carry out repairs, causing as little disturbance as reasonably possible.</w:t>
      </w:r>
    </w:p>
    <w:p>
      <w:pPr>
        <w:keepNext/>
        <w:spacing w:after="120" w:before="280"/>
        <w:outlineLvl w:val="0"/>
      </w:pPr>
      <w:r>
        <w:rPr>
          <w:rFonts w:ascii="Calibri" w:cs="Calibri" w:eastAsia="Calibri" w:hAnsi="Calibri"/>
          <w:b/>
          <w:bCs/>
          <w:color w:val="14161B"/>
          <w:sz w:val="22"/>
          <w:szCs w:val="22"/>
        </w:rPr>
        <w:t xml:space="preserve">8. LESSOR’S COVENANTS</w:t>
      </w:r>
    </w:p>
    <w:p>
      <w:pPr>
        <w:spacing w:after="120" w:before="60" w:line="276"/>
        <w:ind w:left="720" w:hanging="720"/>
        <w:jc w:val="both"/>
      </w:pPr>
      <w:r>
        <w:rPr>
          <w:rFonts w:ascii="Calibri" w:cs="Calibri" w:eastAsia="Calibri" w:hAnsi="Calibri"/>
          <w:sz w:val="21"/>
          <w:szCs w:val="21"/>
        </w:rPr>
        <w:t xml:space="preserve">8.1	</w:t>
      </w:r>
      <w:r>
        <w:rPr>
          <w:rFonts w:ascii="Calibri" w:cs="Calibri" w:eastAsia="Calibri" w:hAnsi="Calibri"/>
          <w:sz w:val="21"/>
          <w:szCs w:val="21"/>
        </w:rPr>
        <w:t xml:space="preserve">The Lessor covenants with the Lessee that:</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it has good, valid and marketable title to the Premises and full authority to grant this lease, and the Premises are free from any mortgage, charge, lien, attachment, acquisition proceeding or litigation that could affect the Lessee’s occupation;</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the Lessee, on paying the Rent and observing its covenants, shall peaceably hold and enjoy the Premises during the Term without interruption by the Lessor or any person claiming under or in trust for the Lessor;</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where the Premises are mortgaged or subsequently mortgaged, it shall obtain and deliver to the Lessee the mortgagee’s written no-objection to this lease and an undertaking not to disturb the Lessee’s possession;</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it shall pay all outgoings referred to in Clause 4.3 and shall produce receipts on request; and</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it shall not, during the Term, transfer the Premises except subject to this lease, and shall procure that any transferee is bound by its terms.</w:t>
      </w:r>
    </w:p>
    <w:p>
      <w:pPr>
        <w:keepNext/>
        <w:spacing w:after="120" w:before="280"/>
        <w:outlineLvl w:val="0"/>
      </w:pPr>
      <w:r>
        <w:rPr>
          <w:rFonts w:ascii="Calibri" w:cs="Calibri" w:eastAsia="Calibri" w:hAnsi="Calibri"/>
          <w:b/>
          <w:bCs/>
          <w:color w:val="14161B"/>
          <w:sz w:val="22"/>
          <w:szCs w:val="22"/>
        </w:rPr>
        <w:t xml:space="preserve">9. LESSEE’S COVENANTS</w:t>
      </w:r>
    </w:p>
    <w:p>
      <w:pPr>
        <w:spacing w:after="120" w:before="60" w:line="276"/>
        <w:ind w:left="720" w:hanging="720"/>
        <w:jc w:val="both"/>
      </w:pPr>
      <w:r>
        <w:rPr>
          <w:rFonts w:ascii="Calibri" w:cs="Calibri" w:eastAsia="Calibri" w:hAnsi="Calibri"/>
          <w:sz w:val="21"/>
          <w:szCs w:val="21"/>
        </w:rPr>
        <w:t xml:space="preserve">9.1	</w:t>
      </w:r>
      <w:r>
        <w:rPr>
          <w:rFonts w:ascii="Calibri" w:cs="Calibri" w:eastAsia="Calibri" w:hAnsi="Calibri"/>
          <w:sz w:val="21"/>
          <w:szCs w:val="21"/>
        </w:rPr>
        <w:t xml:space="preserve">The Lessee covenants with the Lessor that it shall: (a) pay the Rent, maintenance charges and utilities when due; (b) use the Premises only for the Permitted Use; (c) keep the Premises in good and tenantable condition; (d) comply with the building rules and the reasonable directions of the facility manager notified to it; (e) not do anything that vitiates any insurance policy in respect of the building; (f) permit inspection under Clause 7.4; and (g) deliver vacant possession on expiry or determination in accordance with Clause 16.</w:t>
      </w:r>
    </w:p>
    <w:p>
      <w:pPr>
        <w:spacing w:after="120" w:before="60" w:line="276"/>
        <w:ind w:left="720" w:hanging="720"/>
        <w:jc w:val="both"/>
      </w:pPr>
      <w:r>
        <w:rPr>
          <w:rFonts w:ascii="Calibri" w:cs="Calibri" w:eastAsia="Calibri" w:hAnsi="Calibri"/>
          <w:sz w:val="21"/>
          <w:szCs w:val="21"/>
        </w:rPr>
        <w:t xml:space="preserve">9.2	</w:t>
      </w:r>
      <w:r>
        <w:rPr>
          <w:rFonts w:ascii="Calibri" w:cs="Calibri" w:eastAsia="Calibri" w:hAnsi="Calibri"/>
          <w:sz w:val="21"/>
          <w:szCs w:val="21"/>
        </w:rPr>
        <w:t xml:space="preserve">The Lessee shall not create any encumbrance over the Premises, and shall not do anything that would confer on any person any right of tenancy, occupancy or adverse possession.</w:t>
      </w:r>
    </w:p>
    <w:p>
      <w:pPr>
        <w:keepNext/>
        <w:spacing w:after="120" w:before="280"/>
        <w:outlineLvl w:val="0"/>
      </w:pPr>
      <w:r>
        <w:rPr>
          <w:rFonts w:ascii="Calibri" w:cs="Calibri" w:eastAsia="Calibri" w:hAnsi="Calibri"/>
          <w:b/>
          <w:bCs/>
          <w:color w:val="14161B"/>
          <w:sz w:val="22"/>
          <w:szCs w:val="22"/>
        </w:rPr>
        <w:t xml:space="preserve">10. ASSIGNMENT AND SUB-LETTING</w:t>
      </w:r>
    </w:p>
    <w:p>
      <w:pPr>
        <w:spacing w:after="120" w:before="60" w:line="276"/>
        <w:ind w:left="720" w:hanging="720"/>
        <w:jc w:val="both"/>
      </w:pPr>
      <w:r>
        <w:rPr>
          <w:rFonts w:ascii="Calibri" w:cs="Calibri" w:eastAsia="Calibri" w:hAnsi="Calibri"/>
          <w:sz w:val="21"/>
          <w:szCs w:val="21"/>
        </w:rPr>
        <w:t xml:space="preserve">10.1	</w:t>
      </w:r>
      <w:r>
        <w:rPr>
          <w:rFonts w:ascii="Calibri" w:cs="Calibri" w:eastAsia="Calibri" w:hAnsi="Calibri"/>
          <w:sz w:val="21"/>
          <w:szCs w:val="21"/>
        </w:rPr>
        <w:t xml:space="preserve">The Lessee shall not assign, sub-let, part with possession of, or permit occupation of the Premises or any part of them by any third party, without the Lessor’s prior written consent.</w:t>
      </w:r>
    </w:p>
    <w:p>
      <w:pPr>
        <w:spacing w:after="120" w:before="60" w:line="276"/>
        <w:ind w:left="720" w:hanging="720"/>
        <w:jc w:val="both"/>
      </w:pPr>
      <w:r>
        <w:rPr>
          <w:rFonts w:ascii="Calibri" w:cs="Calibri" w:eastAsia="Calibri" w:hAnsi="Calibri"/>
          <w:sz w:val="21"/>
          <w:szCs w:val="21"/>
        </w:rPr>
        <w:t xml:space="preserve">10.2	</w:t>
      </w:r>
      <w:r>
        <w:rPr>
          <w:rFonts w:ascii="Calibri" w:cs="Calibri" w:eastAsia="Calibri" w:hAnsi="Calibri"/>
          <w:sz w:val="21"/>
          <w:szCs w:val="21"/>
        </w:rPr>
        <w:t xml:space="preserve">The Lessee may, on written notice to the Lessor and without requiring consent, permit occupation by its holding company, subsidiary or affiliate under common control, or by a successor pursuant to an amalgamation, demerger or transfer of its business, provided the Lessee remains liable under this Deed.</w:t>
      </w:r>
    </w:p>
    <w:p>
      <w:pPr>
        <w:keepNext/>
        <w:spacing w:after="120" w:before="280"/>
        <w:outlineLvl w:val="0"/>
      </w:pPr>
      <w:r>
        <w:rPr>
          <w:rFonts w:ascii="Calibri" w:cs="Calibri" w:eastAsia="Calibri" w:hAnsi="Calibri"/>
          <w:b/>
          <w:bCs/>
          <w:color w:val="14161B"/>
          <w:sz w:val="22"/>
          <w:szCs w:val="22"/>
        </w:rPr>
        <w:t xml:space="preserve">11. INSURANCE</w:t>
      </w:r>
    </w:p>
    <w:p>
      <w:pPr>
        <w:spacing w:after="120" w:before="60" w:line="276"/>
        <w:ind w:left="720" w:hanging="720"/>
        <w:jc w:val="both"/>
      </w:pPr>
      <w:r>
        <w:rPr>
          <w:rFonts w:ascii="Calibri" w:cs="Calibri" w:eastAsia="Calibri" w:hAnsi="Calibri"/>
          <w:sz w:val="21"/>
          <w:szCs w:val="21"/>
        </w:rPr>
        <w:t xml:space="preserve">11.1	</w:t>
      </w:r>
      <w:r>
        <w:rPr>
          <w:rFonts w:ascii="Calibri" w:cs="Calibri" w:eastAsia="Calibri" w:hAnsi="Calibri"/>
          <w:sz w:val="21"/>
          <w:szCs w:val="21"/>
        </w:rPr>
        <w:t xml:space="preserve">The Lessor shall insure the building and the Premises against fire, earthquake, flood and other standard perils for their full reinstatement value, and shall produce evidence of cover on request.</w:t>
      </w:r>
    </w:p>
    <w:p>
      <w:pPr>
        <w:spacing w:after="120" w:before="60" w:line="276"/>
        <w:ind w:left="720" w:hanging="720"/>
        <w:jc w:val="both"/>
      </w:pPr>
      <w:r>
        <w:rPr>
          <w:rFonts w:ascii="Calibri" w:cs="Calibri" w:eastAsia="Calibri" w:hAnsi="Calibri"/>
          <w:sz w:val="21"/>
          <w:szCs w:val="21"/>
        </w:rPr>
        <w:t xml:space="preserve">11.2	</w:t>
      </w:r>
      <w:r>
        <w:rPr>
          <w:rFonts w:ascii="Calibri" w:cs="Calibri" w:eastAsia="Calibri" w:hAnsi="Calibri"/>
          <w:sz w:val="21"/>
          <w:szCs w:val="21"/>
        </w:rPr>
        <w:t xml:space="preserve">The Lessee shall insure its own contents, fit-outs, equipment, stock and business interruption, and shall maintain public liability insurance of not less than </w:t>
      </w:r>
      <w:r>
        <w:rPr>
          <w:rFonts w:ascii="Calibri" w:cs="Calibri" w:eastAsia="Calibri" w:hAnsi="Calibri"/>
          <w:b/>
          <w:bCs/>
          <w:sz w:val="21"/>
          <w:szCs w:val="21"/>
        </w:rPr>
        <w:t xml:space="preserve">[AMOUNT]</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11.3	</w:t>
      </w:r>
      <w:r>
        <w:rPr>
          <w:rFonts w:ascii="Calibri" w:cs="Calibri" w:eastAsia="Calibri" w:hAnsi="Calibri"/>
          <w:sz w:val="21"/>
          <w:szCs w:val="21"/>
        </w:rPr>
        <w:t xml:space="preserve">Each Party shall promptly notify the other of any event likely to give rise to a claim affecting the Premises.</w:t>
      </w:r>
    </w:p>
    <w:p>
      <w:pPr>
        <w:keepNext/>
        <w:spacing w:after="120" w:before="280"/>
        <w:outlineLvl w:val="0"/>
      </w:pPr>
      <w:r>
        <w:rPr>
          <w:rFonts w:ascii="Calibri" w:cs="Calibri" w:eastAsia="Calibri" w:hAnsi="Calibri"/>
          <w:b/>
          <w:bCs/>
          <w:color w:val="14161B"/>
          <w:sz w:val="22"/>
          <w:szCs w:val="22"/>
        </w:rPr>
        <w:t xml:space="preserve">12. DAMAGE AND DESTRUCTION</w:t>
      </w:r>
    </w:p>
    <w:p>
      <w:pPr>
        <w:spacing w:after="120" w:before="60" w:line="276"/>
        <w:ind w:left="720" w:hanging="720"/>
        <w:jc w:val="both"/>
      </w:pPr>
      <w:r>
        <w:rPr>
          <w:rFonts w:ascii="Calibri" w:cs="Calibri" w:eastAsia="Calibri" w:hAnsi="Calibri"/>
          <w:sz w:val="21"/>
          <w:szCs w:val="21"/>
        </w:rPr>
        <w:t xml:space="preserve">12.1	</w:t>
      </w:r>
      <w:r>
        <w:rPr>
          <w:rFonts w:ascii="Calibri" w:cs="Calibri" w:eastAsia="Calibri" w:hAnsi="Calibri"/>
          <w:sz w:val="21"/>
          <w:szCs w:val="21"/>
        </w:rPr>
        <w:t xml:space="preserve">If the Premises are damaged or destroyed by fire, earthquake, flood, tempest, structural collapse, act of God or any cause not attributable to the Lessee, so as to render them wholly or substantially unfit for the Permitted Use, the Rent shall abate proportionately from the date of the event until the Premises are restored to a fit condition.</w:t>
      </w:r>
    </w:p>
    <w:p>
      <w:pPr>
        <w:spacing w:after="120" w:before="60" w:line="276"/>
        <w:ind w:left="720" w:hanging="720"/>
        <w:jc w:val="both"/>
      </w:pPr>
      <w:r>
        <w:rPr>
          <w:rFonts w:ascii="Calibri" w:cs="Calibri" w:eastAsia="Calibri" w:hAnsi="Calibri"/>
          <w:sz w:val="21"/>
          <w:szCs w:val="21"/>
        </w:rPr>
        <w:t xml:space="preserve">12.2	</w:t>
      </w:r>
      <w:r>
        <w:rPr>
          <w:rFonts w:ascii="Calibri" w:cs="Calibri" w:eastAsia="Calibri" w:hAnsi="Calibri"/>
          <w:sz w:val="21"/>
          <w:szCs w:val="21"/>
        </w:rPr>
        <w:t xml:space="preserve">If the Premises are not restored to a fit condition within </w:t>
      </w:r>
      <w:r>
        <w:rPr>
          <w:rFonts w:ascii="Calibri" w:cs="Calibri" w:eastAsia="Calibri" w:hAnsi="Calibri"/>
          <w:b/>
          <w:bCs/>
          <w:sz w:val="21"/>
          <w:szCs w:val="21"/>
        </w:rPr>
        <w:t xml:space="preserve">[NUMBER]</w:t>
      </w:r>
      <w:r>
        <w:rPr>
          <w:rFonts w:ascii="Calibri" w:cs="Calibri" w:eastAsia="Calibri" w:hAnsi="Calibri"/>
          <w:sz w:val="21"/>
          <w:szCs w:val="21"/>
        </w:rPr>
        <w:t xml:space="preserve"> days of the event, the Lessee may terminate this lease by written notice with immediate effect, notwithstanding the lock-in, whereupon the security deposit and any advance Rent shall be refunded in full within </w:t>
      </w:r>
      <w:r>
        <w:rPr>
          <w:rFonts w:ascii="Calibri" w:cs="Calibri" w:eastAsia="Calibri" w:hAnsi="Calibri"/>
          <w:b/>
          <w:bCs/>
          <w:sz w:val="21"/>
          <w:szCs w:val="21"/>
        </w:rPr>
        <w:t xml:space="preserve">[NUMBER]</w:t>
      </w:r>
      <w:r>
        <w:rPr>
          <w:rFonts w:ascii="Calibri" w:cs="Calibri" w:eastAsia="Calibri" w:hAnsi="Calibri"/>
          <w:sz w:val="21"/>
          <w:szCs w:val="21"/>
        </w:rPr>
        <w:t xml:space="preserve"> days.</w:t>
      </w:r>
    </w:p>
    <w:p>
      <w:pPr>
        <w:spacing w:after="120" w:before="60" w:line="276"/>
        <w:ind w:left="720" w:hanging="720"/>
        <w:jc w:val="both"/>
      </w:pPr>
      <w:r>
        <w:rPr>
          <w:rFonts w:ascii="Calibri" w:cs="Calibri" w:eastAsia="Calibri" w:hAnsi="Calibri"/>
          <w:sz w:val="21"/>
          <w:szCs w:val="21"/>
        </w:rPr>
        <w:t xml:space="preserve">12.3	</w:t>
      </w:r>
      <w:r>
        <w:rPr>
          <w:rFonts w:ascii="Calibri" w:cs="Calibri" w:eastAsia="Calibri" w:hAnsi="Calibri"/>
          <w:sz w:val="21"/>
          <w:szCs w:val="21"/>
        </w:rPr>
        <w:t xml:space="preserve">If the Premises or any material part are compulsorily acquired or requisitioned by any authority, the lease shall determine from the date of dispossession and the Lessor shall refund the security deposit and unexpired Rent within </w:t>
      </w:r>
      <w:r>
        <w:rPr>
          <w:rFonts w:ascii="Calibri" w:cs="Calibri" w:eastAsia="Calibri" w:hAnsi="Calibri"/>
          <w:b/>
          <w:bCs/>
          <w:sz w:val="21"/>
          <w:szCs w:val="21"/>
        </w:rPr>
        <w:t xml:space="preserve">[NUMBER]</w:t>
      </w:r>
      <w:r>
        <w:rPr>
          <w:rFonts w:ascii="Calibri" w:cs="Calibri" w:eastAsia="Calibri" w:hAnsi="Calibri"/>
          <w:sz w:val="21"/>
          <w:szCs w:val="21"/>
        </w:rPr>
        <w:t xml:space="preserve"> days. Compensation for the acquisition of the land and building belongs to the Lessor; compensation attributable to the Lessee’s fit-outs, relocation and business disturbance belongs to the Lessee, and each Party may pursue its own claim.</w:t>
      </w:r>
    </w:p>
    <w:p>
      <w:pPr>
        <w:keepNext/>
        <w:spacing w:after="120" w:before="280"/>
        <w:outlineLvl w:val="0"/>
      </w:pPr>
      <w:r>
        <w:rPr>
          <w:rFonts w:ascii="Calibri" w:cs="Calibri" w:eastAsia="Calibri" w:hAnsi="Calibri"/>
          <w:b/>
          <w:bCs/>
          <w:color w:val="14161B"/>
          <w:sz w:val="22"/>
          <w:szCs w:val="22"/>
        </w:rPr>
        <w:t xml:space="preserve">13. FORCE MAJEURE</w:t>
      </w:r>
    </w:p>
    <w:p>
      <w:pPr>
        <w:spacing w:after="120" w:before="60" w:line="276"/>
        <w:ind w:left="720" w:hanging="720"/>
        <w:jc w:val="both"/>
      </w:pPr>
      <w:r>
        <w:rPr>
          <w:rFonts w:ascii="Calibri" w:cs="Calibri" w:eastAsia="Calibri" w:hAnsi="Calibri"/>
          <w:sz w:val="21"/>
          <w:szCs w:val="21"/>
        </w:rPr>
        <w:t xml:space="preserve">13.1	</w:t>
      </w:r>
      <w:r>
        <w:rPr>
          <w:rFonts w:ascii="Calibri" w:cs="Calibri" w:eastAsia="Calibri" w:hAnsi="Calibri"/>
          <w:sz w:val="21"/>
          <w:szCs w:val="21"/>
        </w:rPr>
        <w:t xml:space="preserve">Neither Party shall be liable for failure to perform any obligation (other than payment of money already due) to the extent prevented by an event beyond its reasonable control, including act of God, epidemic or pandemic, government order restricting access to or use of the Premises, civil commotion or failure of public infrastructure, provided it gives prompt written notice and uses reasonable endeavours to mitigate.</w:t>
      </w:r>
    </w:p>
    <w:p>
      <w:pPr>
        <w:spacing w:after="120" w:before="60" w:line="276"/>
        <w:ind w:left="720" w:hanging="720"/>
        <w:jc w:val="both"/>
      </w:pPr>
      <w:r>
        <w:rPr>
          <w:rFonts w:ascii="Calibri" w:cs="Calibri" w:eastAsia="Calibri" w:hAnsi="Calibri"/>
          <w:sz w:val="21"/>
          <w:szCs w:val="21"/>
        </w:rPr>
        <w:t xml:space="preserve">13.2	</w:t>
      </w:r>
      <w:r>
        <w:rPr>
          <w:rFonts w:ascii="Calibri" w:cs="Calibri" w:eastAsia="Calibri" w:hAnsi="Calibri"/>
          <w:sz w:val="21"/>
          <w:szCs w:val="21"/>
        </w:rPr>
        <w:t xml:space="preserve">If access to or use of the Premises for the Permitted Use is prevented by such an event for a continuous period exceeding </w:t>
      </w:r>
      <w:r>
        <w:rPr>
          <w:rFonts w:ascii="Calibri" w:cs="Calibri" w:eastAsia="Calibri" w:hAnsi="Calibri"/>
          <w:b/>
          <w:bCs/>
          <w:sz w:val="21"/>
          <w:szCs w:val="21"/>
        </w:rPr>
        <w:t xml:space="preserve">[NUMBER]</w:t>
      </w:r>
      <w:r>
        <w:rPr>
          <w:rFonts w:ascii="Calibri" w:cs="Calibri" w:eastAsia="Calibri" w:hAnsi="Calibri"/>
          <w:sz w:val="21"/>
          <w:szCs w:val="21"/>
        </w:rPr>
        <w:t xml:space="preserve"> days, Rent shall abate by </w:t>
      </w:r>
      <w:r>
        <w:rPr>
          <w:rFonts w:ascii="Calibri" w:cs="Calibri" w:eastAsia="Calibri" w:hAnsi="Calibri"/>
          <w:b/>
          <w:bCs/>
          <w:sz w:val="21"/>
          <w:szCs w:val="21"/>
        </w:rPr>
        <w:t xml:space="preserve">[PERCENTAGE]</w:t>
      </w:r>
      <w:r>
        <w:rPr>
          <w:rFonts w:ascii="Calibri" w:cs="Calibri" w:eastAsia="Calibri" w:hAnsi="Calibri"/>
          <w:sz w:val="21"/>
          <w:szCs w:val="21"/>
        </w:rPr>
        <w:t xml:space="preserve"> per cent for the period of prevention, and if the prevention continues beyond </w:t>
      </w:r>
      <w:r>
        <w:rPr>
          <w:rFonts w:ascii="Calibri" w:cs="Calibri" w:eastAsia="Calibri" w:hAnsi="Calibri"/>
          <w:b/>
          <w:bCs/>
          <w:sz w:val="21"/>
          <w:szCs w:val="21"/>
        </w:rPr>
        <w:t xml:space="preserve">[NUMBER]</w:t>
      </w:r>
      <w:r>
        <w:rPr>
          <w:rFonts w:ascii="Calibri" w:cs="Calibri" w:eastAsia="Calibri" w:hAnsi="Calibri"/>
          <w:sz w:val="21"/>
          <w:szCs w:val="21"/>
        </w:rPr>
        <w:t xml:space="preserve"> days either Party may terminate on written notice without liability, notwithstanding the lock-in. </w:t>
      </w:r>
      <w:r>
        <w:rPr>
          <w:rFonts w:ascii="Calibri" w:cs="Calibri" w:eastAsia="Calibri" w:hAnsi="Calibri"/>
          <w:i/>
          <w:iCs/>
          <w:color w:val="6E7480"/>
          <w:sz w:val="21"/>
          <w:szCs w:val="21"/>
        </w:rPr>
        <w:t xml:space="preserve">The abatement percentage is a commercial decision — specify.</w:t>
      </w:r>
    </w:p>
    <w:p>
      <w:pPr>
        <w:keepNext/>
        <w:spacing w:after="120" w:before="280"/>
        <w:outlineLvl w:val="0"/>
      </w:pPr>
      <w:r>
        <w:rPr>
          <w:rFonts w:ascii="Calibri" w:cs="Calibri" w:eastAsia="Calibri" w:hAnsi="Calibri"/>
          <w:b/>
          <w:bCs/>
          <w:color w:val="14161B"/>
          <w:sz w:val="22"/>
          <w:szCs w:val="22"/>
        </w:rPr>
        <w:t xml:space="preserve">14. TERMINATION FOR CONVENIENCE</w:t>
      </w:r>
    </w:p>
    <w:p>
      <w:pPr>
        <w:spacing w:after="120" w:before="60" w:line="276"/>
        <w:ind w:left="720" w:hanging="720"/>
        <w:jc w:val="both"/>
      </w:pPr>
      <w:r>
        <w:rPr>
          <w:rFonts w:ascii="Calibri" w:cs="Calibri" w:eastAsia="Calibri" w:hAnsi="Calibri"/>
          <w:sz w:val="21"/>
          <w:szCs w:val="21"/>
        </w:rPr>
        <w:t xml:space="preserve">14.1	</w:t>
      </w:r>
      <w:r>
        <w:rPr>
          <w:rFonts w:ascii="Calibri" w:cs="Calibri" w:eastAsia="Calibri" w:hAnsi="Calibri"/>
          <w:sz w:val="21"/>
          <w:szCs w:val="21"/>
        </w:rPr>
        <w:t xml:space="preserve">After expiry of the lock-in period, either Party may terminate this lease by giving </w:t>
      </w:r>
      <w:r>
        <w:rPr>
          <w:rFonts w:ascii="Calibri" w:cs="Calibri" w:eastAsia="Calibri" w:hAnsi="Calibri"/>
          <w:b/>
          <w:bCs/>
          <w:sz w:val="21"/>
          <w:szCs w:val="21"/>
        </w:rPr>
        <w:t xml:space="preserve">[NOTICE PERIOD — e.g. six (6)]</w:t>
      </w:r>
      <w:r>
        <w:rPr>
          <w:rFonts w:ascii="Calibri" w:cs="Calibri" w:eastAsia="Calibri" w:hAnsi="Calibri"/>
          <w:sz w:val="21"/>
          <w:szCs w:val="21"/>
        </w:rPr>
        <w:t xml:space="preserve"> months’ prior written notice to the other, or by paying Rent in lieu of the unexpired portion of the notice period.</w:t>
      </w:r>
    </w:p>
    <w:p>
      <w:pPr>
        <w:spacing w:after="120" w:before="60" w:line="276"/>
        <w:ind w:left="720" w:hanging="720"/>
        <w:jc w:val="both"/>
      </w:pPr>
      <w:r>
        <w:rPr>
          <w:rFonts w:ascii="Calibri" w:cs="Calibri" w:eastAsia="Calibri" w:hAnsi="Calibri"/>
          <w:sz w:val="21"/>
          <w:szCs w:val="21"/>
        </w:rPr>
        <w:t xml:space="preserve">14.2	</w:t>
      </w:r>
      <w:r>
        <w:rPr>
          <w:rFonts w:ascii="Calibri" w:cs="Calibri" w:eastAsia="Calibri" w:hAnsi="Calibri"/>
          <w:sz w:val="21"/>
          <w:szCs w:val="21"/>
        </w:rPr>
        <w:t xml:space="preserve">If the Lessee vacates during the lock-in period otherwise than under Clause 12, 13 or 15, the Lessee shall pay the Rent for the unexpired portion of the lock-in period, and the Lessor may adjust the security deposit against that liability. The Lessor shall use reasonable efforts to re-let the Premises, and the Lessee’s liability shall be reduced by the rent actually received from a replacement lessee for the balance of the lock-in period.</w:t>
      </w:r>
    </w:p>
    <w:p>
      <w:pPr>
        <w:keepNext/>
        <w:spacing w:after="120" w:before="280"/>
        <w:outlineLvl w:val="0"/>
      </w:pPr>
      <w:r>
        <w:rPr>
          <w:rFonts w:ascii="Calibri" w:cs="Calibri" w:eastAsia="Calibri" w:hAnsi="Calibri"/>
          <w:b/>
          <w:bCs/>
          <w:color w:val="14161B"/>
          <w:sz w:val="22"/>
          <w:szCs w:val="22"/>
        </w:rPr>
        <w:t xml:space="preserve">15. DEFAULT AND REMEDIES</w:t>
      </w:r>
    </w:p>
    <w:p>
      <w:pPr>
        <w:spacing w:after="120" w:before="60" w:line="276"/>
        <w:ind w:left="720" w:hanging="720"/>
        <w:jc w:val="both"/>
      </w:pPr>
      <w:r>
        <w:rPr>
          <w:rFonts w:ascii="Calibri" w:cs="Calibri" w:eastAsia="Calibri" w:hAnsi="Calibri"/>
          <w:sz w:val="21"/>
          <w:szCs w:val="21"/>
        </w:rPr>
        <w:t xml:space="preserve">15.1	</w:t>
      </w:r>
      <w:r>
        <w:rPr>
          <w:rFonts w:ascii="Calibri" w:cs="Calibri" w:eastAsia="Calibri" w:hAnsi="Calibri"/>
          <w:sz w:val="21"/>
          <w:szCs w:val="21"/>
        </w:rPr>
        <w:t xml:space="preserve">Each of the following is an event of default by the Lessee: (a) failure to pay Rent or other sums for </w:t>
      </w:r>
      <w:r>
        <w:rPr>
          <w:rFonts w:ascii="Calibri" w:cs="Calibri" w:eastAsia="Calibri" w:hAnsi="Calibri"/>
          <w:b/>
          <w:bCs/>
          <w:sz w:val="21"/>
          <w:szCs w:val="21"/>
        </w:rPr>
        <w:t xml:space="preserve">[NUMBER]</w:t>
      </w:r>
      <w:r>
        <w:rPr>
          <w:rFonts w:ascii="Calibri" w:cs="Calibri" w:eastAsia="Calibri" w:hAnsi="Calibri"/>
          <w:sz w:val="21"/>
          <w:szCs w:val="21"/>
        </w:rPr>
        <w:t xml:space="preserve"> days after the due date and </w:t>
      </w:r>
      <w:r>
        <w:rPr>
          <w:rFonts w:ascii="Calibri" w:cs="Calibri" w:eastAsia="Calibri" w:hAnsi="Calibri"/>
          <w:b/>
          <w:bCs/>
          <w:sz w:val="21"/>
          <w:szCs w:val="21"/>
        </w:rPr>
        <w:t xml:space="preserve">[NUMBER]</w:t>
      </w:r>
      <w:r>
        <w:rPr>
          <w:rFonts w:ascii="Calibri" w:cs="Calibri" w:eastAsia="Calibri" w:hAnsi="Calibri"/>
          <w:sz w:val="21"/>
          <w:szCs w:val="21"/>
        </w:rPr>
        <w:t xml:space="preserve"> days after written notice; (b) breach of any material covenant not remedied within </w:t>
      </w:r>
      <w:r>
        <w:rPr>
          <w:rFonts w:ascii="Calibri" w:cs="Calibri" w:eastAsia="Calibri" w:hAnsi="Calibri"/>
          <w:b/>
          <w:bCs/>
          <w:sz w:val="21"/>
          <w:szCs w:val="21"/>
        </w:rPr>
        <w:t xml:space="preserve">[NUMBER]</w:t>
      </w:r>
      <w:r>
        <w:rPr>
          <w:rFonts w:ascii="Calibri" w:cs="Calibri" w:eastAsia="Calibri" w:hAnsi="Calibri"/>
          <w:sz w:val="21"/>
          <w:szCs w:val="21"/>
        </w:rPr>
        <w:t xml:space="preserve"> days of written notice; (c) use of the Premises for a purpose other than the Permitted Use; (d) unauthorised assignment or sub-letting; or (e) admission of an insolvency application against the Lessee under the Insolvency and Bankruptcy Code, 2016.</w:t>
      </w:r>
    </w:p>
    <w:p>
      <w:pPr>
        <w:spacing w:after="120" w:before="60" w:line="276"/>
        <w:ind w:left="720" w:hanging="720"/>
        <w:jc w:val="both"/>
      </w:pPr>
      <w:r>
        <w:rPr>
          <w:rFonts w:ascii="Calibri" w:cs="Calibri" w:eastAsia="Calibri" w:hAnsi="Calibri"/>
          <w:sz w:val="21"/>
          <w:szCs w:val="21"/>
        </w:rPr>
        <w:t xml:space="preserve">15.2	</w:t>
      </w:r>
      <w:r>
        <w:rPr>
          <w:rFonts w:ascii="Calibri" w:cs="Calibri" w:eastAsia="Calibri" w:hAnsi="Calibri"/>
          <w:sz w:val="21"/>
          <w:szCs w:val="21"/>
        </w:rPr>
        <w:t xml:space="preserve">On an event of default by the Lessee that is not remedied, the Lessor may determine the lease by written notice, re-enter the Premises in accordance with due process of law, forfeit so much of the security deposit as represents its actual loss, and recover arrears and damages.</w:t>
      </w:r>
    </w:p>
    <w:p>
      <w:pPr>
        <w:spacing w:after="120" w:before="60" w:line="276"/>
        <w:ind w:left="720" w:hanging="720"/>
        <w:jc w:val="both"/>
      </w:pPr>
      <w:r>
        <w:rPr>
          <w:rFonts w:ascii="Calibri" w:cs="Calibri" w:eastAsia="Calibri" w:hAnsi="Calibri"/>
          <w:sz w:val="21"/>
          <w:szCs w:val="21"/>
        </w:rPr>
        <w:t xml:space="preserve">15.3	</w:t>
      </w:r>
      <w:r>
        <w:rPr>
          <w:rFonts w:ascii="Calibri" w:cs="Calibri" w:eastAsia="Calibri" w:hAnsi="Calibri"/>
          <w:sz w:val="21"/>
          <w:szCs w:val="21"/>
        </w:rPr>
        <w:t xml:space="preserve">Each of the following is an event of default by the Lessor: (a) failure to refund the security deposit in accordance with Clause 3; (b) breach of the covenant for quiet enjoyment; (c) failure to carry out structural repairs after notice; or (d) any defect in title that disturbs the Lessee’s possession. On such default the Lessee may determine the lease by written notice and recover the security deposit, unexpired advance Rent, the written-down value of its fit-outs and the reasonable cost of relocation.</w:t>
      </w:r>
    </w:p>
    <w:p>
      <w:pPr>
        <w:spacing w:after="120" w:before="60" w:line="276"/>
        <w:ind w:left="720" w:hanging="720"/>
        <w:jc w:val="both"/>
      </w:pPr>
      <w:r>
        <w:rPr>
          <w:rFonts w:ascii="Calibri" w:cs="Calibri" w:eastAsia="Calibri" w:hAnsi="Calibri"/>
          <w:sz w:val="21"/>
          <w:szCs w:val="21"/>
        </w:rPr>
        <w:t xml:space="preserve">15.4	</w:t>
      </w:r>
      <w:r>
        <w:rPr>
          <w:rFonts w:ascii="Calibri" w:cs="Calibri" w:eastAsia="Calibri" w:hAnsi="Calibri"/>
          <w:sz w:val="21"/>
          <w:szCs w:val="21"/>
        </w:rPr>
        <w:t xml:space="preserve">The Lessor shall not, in any circumstances, lock, seal, disconnect utilities to, or take physical possession of the Premises otherwise than in accordance with due process of law.</w:t>
      </w:r>
    </w:p>
    <w:p>
      <w:pPr>
        <w:keepNext/>
        <w:spacing w:after="120" w:before="280"/>
        <w:outlineLvl w:val="0"/>
      </w:pPr>
      <w:r>
        <w:rPr>
          <w:rFonts w:ascii="Calibri" w:cs="Calibri" w:eastAsia="Calibri" w:hAnsi="Calibri"/>
          <w:b/>
          <w:bCs/>
          <w:color w:val="14161B"/>
          <w:sz w:val="22"/>
          <w:szCs w:val="22"/>
        </w:rPr>
        <w:t xml:space="preserve">16. HANDOVER ON EXPIRY</w:t>
      </w:r>
    </w:p>
    <w:p>
      <w:pPr>
        <w:spacing w:after="120" w:before="60" w:line="276"/>
        <w:ind w:left="720" w:hanging="720"/>
        <w:jc w:val="both"/>
      </w:pPr>
      <w:r>
        <w:rPr>
          <w:rFonts w:ascii="Calibri" w:cs="Calibri" w:eastAsia="Calibri" w:hAnsi="Calibri"/>
          <w:sz w:val="21"/>
          <w:szCs w:val="21"/>
        </w:rPr>
        <w:t xml:space="preserve">16.1	</w:t>
      </w:r>
      <w:r>
        <w:rPr>
          <w:rFonts w:ascii="Calibri" w:cs="Calibri" w:eastAsia="Calibri" w:hAnsi="Calibri"/>
          <w:sz w:val="21"/>
          <w:szCs w:val="21"/>
        </w:rPr>
        <w:t xml:space="preserve">On expiry or earlier determination, the Lessee shall deliver vacant and peaceful possession of the Premises to the Lessor in the same condition in which they were handed over, normal wear and tear excepted, having removed its goods, equipment and removable fit-outs and made good any damage caused by removal.</w:t>
      </w:r>
    </w:p>
    <w:p>
      <w:pPr>
        <w:spacing w:after="120" w:before="60" w:line="276"/>
        <w:ind w:left="720" w:hanging="720"/>
        <w:jc w:val="both"/>
      </w:pPr>
      <w:r>
        <w:rPr>
          <w:rFonts w:ascii="Calibri" w:cs="Calibri" w:eastAsia="Calibri" w:hAnsi="Calibri"/>
          <w:sz w:val="21"/>
          <w:szCs w:val="21"/>
        </w:rPr>
        <w:t xml:space="preserve">16.2	</w:t>
      </w:r>
      <w:r>
        <w:rPr>
          <w:rFonts w:ascii="Calibri" w:cs="Calibri" w:eastAsia="Calibri" w:hAnsi="Calibri"/>
          <w:sz w:val="21"/>
          <w:szCs w:val="21"/>
        </w:rPr>
        <w:t xml:space="preserve">The Parties shall carry out a joint inspection not less than </w:t>
      </w:r>
      <w:r>
        <w:rPr>
          <w:rFonts w:ascii="Calibri" w:cs="Calibri" w:eastAsia="Calibri" w:hAnsi="Calibri"/>
          <w:b/>
          <w:bCs/>
          <w:sz w:val="21"/>
          <w:szCs w:val="21"/>
        </w:rPr>
        <w:t xml:space="preserve">[NUMBER]</w:t>
      </w:r>
      <w:r>
        <w:rPr>
          <w:rFonts w:ascii="Calibri" w:cs="Calibri" w:eastAsia="Calibri" w:hAnsi="Calibri"/>
          <w:sz w:val="21"/>
          <w:szCs w:val="21"/>
        </w:rPr>
        <w:t xml:space="preserve"> days before expiry, agree a snag list, and record the final condition, meter readings and utility dues in a handover note. Refund of the security deposit under Clause 3.3 shall be simultaneous with handover.</w:t>
      </w:r>
    </w:p>
    <w:p>
      <w:pPr>
        <w:spacing w:after="120" w:before="60" w:line="276"/>
        <w:ind w:left="720" w:hanging="720"/>
        <w:jc w:val="both"/>
      </w:pPr>
      <w:r>
        <w:rPr>
          <w:rFonts w:ascii="Calibri" w:cs="Calibri" w:eastAsia="Calibri" w:hAnsi="Calibri"/>
          <w:sz w:val="21"/>
          <w:szCs w:val="21"/>
        </w:rPr>
        <w:t xml:space="preserve">16.3	</w:t>
      </w:r>
      <w:r>
        <w:rPr>
          <w:rFonts w:ascii="Calibri" w:cs="Calibri" w:eastAsia="Calibri" w:hAnsi="Calibri"/>
          <w:sz w:val="21"/>
          <w:szCs w:val="21"/>
        </w:rPr>
        <w:t xml:space="preserve">If the Lessee continues in occupation after expiry without the Lessor’s written consent, it shall pay mesne profits at </w:t>
      </w:r>
      <w:r>
        <w:rPr>
          <w:rFonts w:ascii="Calibri" w:cs="Calibri" w:eastAsia="Calibri" w:hAnsi="Calibri"/>
          <w:b/>
          <w:bCs/>
          <w:sz w:val="21"/>
          <w:szCs w:val="21"/>
        </w:rPr>
        <w:t xml:space="preserve">[MULTIPLE — e.g. one and a half (1.5)]</w:t>
      </w:r>
      <w:r>
        <w:rPr>
          <w:rFonts w:ascii="Calibri" w:cs="Calibri" w:eastAsia="Calibri" w:hAnsi="Calibri"/>
          <w:sz w:val="21"/>
          <w:szCs w:val="21"/>
        </w:rPr>
        <w:t xml:space="preserve"> times the last payable Rent for the period of overstay. Acceptance of such payment shall not create a tenancy, renew the lease or waive the Lessor’s right to possession.</w:t>
      </w:r>
    </w:p>
    <w:p>
      <w:pPr>
        <w:keepNext/>
        <w:spacing w:after="120" w:before="280"/>
        <w:outlineLvl w:val="0"/>
      </w:pPr>
      <w:r>
        <w:rPr>
          <w:rFonts w:ascii="Calibri" w:cs="Calibri" w:eastAsia="Calibri" w:hAnsi="Calibri"/>
          <w:b/>
          <w:bCs/>
          <w:color w:val="14161B"/>
          <w:sz w:val="22"/>
          <w:szCs w:val="22"/>
        </w:rPr>
        <w:t xml:space="preserve">17. STAMP DUTY AND REGISTRATION</w:t>
      </w:r>
    </w:p>
    <w:p>
      <w:pPr>
        <w:spacing w:after="120" w:before="60" w:line="276"/>
        <w:ind w:left="720" w:hanging="720"/>
        <w:jc w:val="both"/>
      </w:pPr>
      <w:r>
        <w:rPr>
          <w:rFonts w:ascii="Calibri" w:cs="Calibri" w:eastAsia="Calibri" w:hAnsi="Calibri"/>
          <w:sz w:val="21"/>
          <w:szCs w:val="21"/>
        </w:rPr>
        <w:t xml:space="preserve">17.1	</w:t>
      </w:r>
      <w:r>
        <w:rPr>
          <w:rFonts w:ascii="Calibri" w:cs="Calibri" w:eastAsia="Calibri" w:hAnsi="Calibri"/>
          <w:sz w:val="21"/>
          <w:szCs w:val="21"/>
        </w:rPr>
        <w:t xml:space="preserve">This Deed shall be stamped with the stamp duty payable under the applicable State stamp legislation and shall be registered with the jurisdictional Sub-Registrar of Assurances within the time prescribed by the Registration Act, 1908.</w:t>
      </w:r>
    </w:p>
    <w:p>
      <w:pPr>
        <w:spacing w:after="120" w:before="60" w:line="276"/>
        <w:ind w:left="720" w:hanging="720"/>
        <w:jc w:val="both"/>
      </w:pPr>
      <w:r>
        <w:rPr>
          <w:rFonts w:ascii="Calibri" w:cs="Calibri" w:eastAsia="Calibri" w:hAnsi="Calibri"/>
          <w:sz w:val="21"/>
          <w:szCs w:val="21"/>
        </w:rPr>
        <w:t xml:space="preserve">17.2	</w:t>
      </w:r>
      <w:r>
        <w:rPr>
          <w:rFonts w:ascii="Calibri" w:cs="Calibri" w:eastAsia="Calibri" w:hAnsi="Calibri"/>
          <w:sz w:val="21"/>
          <w:szCs w:val="21"/>
        </w:rPr>
        <w:t xml:space="preserve">The stamp duty, registration fee and incidental charges shall be borne by </w:t>
      </w:r>
      <w:r>
        <w:rPr>
          <w:rFonts w:ascii="Calibri" w:cs="Calibri" w:eastAsia="Calibri" w:hAnsi="Calibri"/>
          <w:b/>
          <w:bCs/>
          <w:sz w:val="21"/>
          <w:szCs w:val="21"/>
        </w:rPr>
        <w:t xml:space="preserve">[LESSEE / LESSOR / SHARED EQUALLY]</w:t>
      </w:r>
      <w:r>
        <w:rPr>
          <w:rFonts w:ascii="Calibri" w:cs="Calibri" w:eastAsia="Calibri" w:hAnsi="Calibri"/>
          <w:sz w:val="21"/>
          <w:szCs w:val="21"/>
        </w:rPr>
        <w:t xml:space="preserve">. Both Parties shall present themselves before the Sub-Registrar with the required identification and photographs and shall do all acts necessary to complete registration.</w:t>
      </w:r>
    </w:p>
    <w:p>
      <w:pPr>
        <w:spacing w:after="120" w:before="60" w:line="276"/>
        <w:ind w:left="720" w:hanging="720"/>
        <w:jc w:val="both"/>
      </w:pPr>
      <w:r>
        <w:rPr>
          <w:rFonts w:ascii="Calibri" w:cs="Calibri" w:eastAsia="Calibri" w:hAnsi="Calibri"/>
          <w:sz w:val="21"/>
          <w:szCs w:val="21"/>
        </w:rPr>
        <w:t xml:space="preserve">17.3	</w:t>
      </w:r>
      <w:r>
        <w:rPr>
          <w:rFonts w:ascii="Calibri" w:cs="Calibri" w:eastAsia="Calibri" w:hAnsi="Calibri"/>
          <w:sz w:val="21"/>
          <w:szCs w:val="21"/>
        </w:rPr>
        <w:t xml:space="preserve">The Parties acknowledge that a lease of immovable property from year to year, or for any term exceeding one year, or reserving a yearly rent, can be made only by a registered instrument under Section 107 of the Transfer of Property Act, 1882, and requires compulsory registration under Section 17(1)(d) of the Registration Act, 1908.</w:t>
      </w:r>
    </w:p>
    <w:p>
      <w:pPr>
        <w:spacing w:after="120" w:before="60" w:line="276"/>
        <w:ind w:left="720" w:hanging="720"/>
        <w:jc w:val="both"/>
      </w:pPr>
      <w:r>
        <w:rPr>
          <w:rFonts w:ascii="Calibri" w:cs="Calibri" w:eastAsia="Calibri" w:hAnsi="Calibri"/>
          <w:sz w:val="21"/>
          <w:szCs w:val="21"/>
        </w:rPr>
        <w:t xml:space="preserve">17.4	</w:t>
      </w:r>
      <w:r>
        <w:rPr>
          <w:rFonts w:ascii="Calibri" w:cs="Calibri" w:eastAsia="Calibri" w:hAnsi="Calibri"/>
          <w:sz w:val="21"/>
          <w:szCs w:val="21"/>
        </w:rPr>
        <w:t xml:space="preserve">The original registered Deed shall be retained by the </w:t>
      </w:r>
      <w:r>
        <w:rPr>
          <w:rFonts w:ascii="Calibri" w:cs="Calibri" w:eastAsia="Calibri" w:hAnsi="Calibri"/>
          <w:b/>
          <w:bCs/>
          <w:sz w:val="21"/>
          <w:szCs w:val="21"/>
        </w:rPr>
        <w:t xml:space="preserve">[LESSEE / LESSOR]</w:t>
      </w:r>
      <w:r>
        <w:rPr>
          <w:rFonts w:ascii="Calibri" w:cs="Calibri" w:eastAsia="Calibri" w:hAnsi="Calibri"/>
          <w:sz w:val="21"/>
          <w:szCs w:val="21"/>
        </w:rPr>
        <w:t xml:space="preserve"> and a certified copy shall be provided to the other Party.</w:t>
      </w:r>
    </w:p>
    <w:p>
      <w:pPr>
        <w:keepNext/>
        <w:spacing w:after="120" w:before="280"/>
        <w:outlineLvl w:val="0"/>
      </w:pPr>
      <w:r>
        <w:rPr>
          <w:rFonts w:ascii="Calibri" w:cs="Calibri" w:eastAsia="Calibri" w:hAnsi="Calibri"/>
          <w:b/>
          <w:bCs/>
          <w:color w:val="14161B"/>
          <w:sz w:val="22"/>
          <w:szCs w:val="22"/>
        </w:rPr>
        <w:t xml:space="preserve">18. NOTICES</w:t>
      </w:r>
    </w:p>
    <w:p>
      <w:pPr>
        <w:spacing w:after="120" w:before="60" w:line="276"/>
        <w:ind w:left="720" w:hanging="720"/>
        <w:jc w:val="both"/>
      </w:pPr>
      <w:r>
        <w:rPr>
          <w:rFonts w:ascii="Calibri" w:cs="Calibri" w:eastAsia="Calibri" w:hAnsi="Calibri"/>
          <w:sz w:val="21"/>
          <w:szCs w:val="21"/>
        </w:rPr>
        <w:t xml:space="preserve">18.1	</w:t>
      </w:r>
      <w:r>
        <w:rPr>
          <w:rFonts w:ascii="Calibri" w:cs="Calibri" w:eastAsia="Calibri" w:hAnsi="Calibri"/>
          <w:sz w:val="21"/>
          <w:szCs w:val="21"/>
        </w:rPr>
        <w:t xml:space="preserve">Notices shall be in writing and delivered by hand against acknowledgement, by courier, by registered post with acknowledgement due, or by email, to the addresses set out in Schedule III, and shall be deemed received on delivery, on the third day after posting, or on transmission by email, as the case may be. Notices of default and termination shall additionally be sent by registered post.</w:t>
      </w:r>
    </w:p>
    <w:p>
      <w:pPr>
        <w:keepNext/>
        <w:spacing w:after="120" w:before="280"/>
        <w:outlineLvl w:val="0"/>
      </w:pPr>
      <w:r>
        <w:rPr>
          <w:rFonts w:ascii="Calibri" w:cs="Calibri" w:eastAsia="Calibri" w:hAnsi="Calibri"/>
          <w:b/>
          <w:bCs/>
          <w:color w:val="14161B"/>
          <w:sz w:val="22"/>
          <w:szCs w:val="22"/>
        </w:rPr>
        <w:t xml:space="preserve">19. GOVERNING LAW AND JURISDICTION</w:t>
      </w:r>
    </w:p>
    <w:p>
      <w:pPr>
        <w:spacing w:after="120" w:before="60" w:line="276"/>
        <w:ind w:left="720" w:hanging="720"/>
        <w:jc w:val="both"/>
      </w:pPr>
      <w:r>
        <w:rPr>
          <w:rFonts w:ascii="Calibri" w:cs="Calibri" w:eastAsia="Calibri" w:hAnsi="Calibri"/>
          <w:sz w:val="21"/>
          <w:szCs w:val="21"/>
        </w:rPr>
        <w:t xml:space="preserve">19.1	</w:t>
      </w:r>
      <w:r>
        <w:rPr>
          <w:rFonts w:ascii="Calibri" w:cs="Calibri" w:eastAsia="Calibri" w:hAnsi="Calibri"/>
          <w:sz w:val="21"/>
          <w:szCs w:val="21"/>
        </w:rPr>
        <w:t xml:space="preserve">This Deed is governed by the laws of India.</w:t>
      </w:r>
    </w:p>
    <w:p>
      <w:pPr>
        <w:spacing w:after="120" w:before="60" w:line="276"/>
        <w:ind w:left="720" w:hanging="720"/>
        <w:jc w:val="both"/>
      </w:pPr>
      <w:r>
        <w:rPr>
          <w:rFonts w:ascii="Calibri" w:cs="Calibri" w:eastAsia="Calibri" w:hAnsi="Calibri"/>
          <w:sz w:val="21"/>
          <w:szCs w:val="21"/>
        </w:rPr>
        <w:t xml:space="preserve">19.2	</w:t>
      </w:r>
      <w:r>
        <w:rPr>
          <w:rFonts w:ascii="Calibri" w:cs="Calibri" w:eastAsia="Calibri" w:hAnsi="Calibri"/>
          <w:sz w:val="21"/>
          <w:szCs w:val="21"/>
        </w:rPr>
        <w:t xml:space="preserve">Any dispute shall be referred to arbitration by a sole arbitrator under the Arbitration and Conciliation Act, 1996, with seat and venue at </w:t>
      </w:r>
      <w:r>
        <w:rPr>
          <w:rFonts w:ascii="Calibri" w:cs="Calibri" w:eastAsia="Calibri" w:hAnsi="Calibri"/>
          <w:b/>
          <w:bCs/>
          <w:sz w:val="21"/>
          <w:szCs w:val="21"/>
        </w:rPr>
        <w:t xml:space="preserve">[CITY]</w:t>
      </w:r>
      <w:r>
        <w:rPr>
          <w:rFonts w:ascii="Calibri" w:cs="Calibri" w:eastAsia="Calibri" w:hAnsi="Calibri"/>
          <w:sz w:val="21"/>
          <w:szCs w:val="21"/>
        </w:rPr>
        <w:t xml:space="preserve">, in English, save that any proceeding for recovery of possession, eviction or arrears may be brought before the competent court or authority. The courts at </w:t>
      </w:r>
      <w:r>
        <w:rPr>
          <w:rFonts w:ascii="Calibri" w:cs="Calibri" w:eastAsia="Calibri" w:hAnsi="Calibri"/>
          <w:b/>
          <w:bCs/>
          <w:sz w:val="21"/>
          <w:szCs w:val="21"/>
        </w:rPr>
        <w:t xml:space="preserve">[CITY]</w:t>
      </w:r>
      <w:r>
        <w:rPr>
          <w:rFonts w:ascii="Calibri" w:cs="Calibri" w:eastAsia="Calibri" w:hAnsi="Calibri"/>
          <w:sz w:val="21"/>
          <w:szCs w:val="21"/>
        </w:rPr>
        <w:t xml:space="preserve"> shall have exclusive jurisdiction.</w:t>
      </w:r>
    </w:p>
    <w:p>
      <w:pPr>
        <w:keepNext/>
        <w:spacing w:after="120" w:before="280"/>
        <w:outlineLvl w:val="0"/>
      </w:pPr>
      <w:r>
        <w:rPr>
          <w:rFonts w:ascii="Calibri" w:cs="Calibri" w:eastAsia="Calibri" w:hAnsi="Calibri"/>
          <w:b/>
          <w:bCs/>
          <w:color w:val="14161B"/>
          <w:sz w:val="22"/>
          <w:szCs w:val="22"/>
        </w:rPr>
        <w:t xml:space="preserve">20. GENERAL</w:t>
      </w:r>
    </w:p>
    <w:p>
      <w:pPr>
        <w:spacing w:after="120" w:before="60" w:line="276"/>
        <w:ind w:left="720" w:hanging="720"/>
        <w:jc w:val="both"/>
      </w:pPr>
      <w:r>
        <w:rPr>
          <w:rFonts w:ascii="Calibri" w:cs="Calibri" w:eastAsia="Calibri" w:hAnsi="Calibri"/>
          <w:sz w:val="21"/>
          <w:szCs w:val="21"/>
        </w:rPr>
        <w:t xml:space="preserve">20.1	</w:t>
      </w:r>
      <w:r>
        <w:rPr>
          <w:rFonts w:ascii="Calibri" w:cs="Calibri" w:eastAsia="Calibri" w:hAnsi="Calibri"/>
          <w:b/>
          <w:bCs/>
          <w:sz w:val="21"/>
          <w:szCs w:val="21"/>
        </w:rPr>
        <w:t xml:space="preserve">Entire agreement.</w:t>
      </w:r>
      <w:r>
        <w:rPr>
          <w:rFonts w:ascii="Calibri" w:cs="Calibri" w:eastAsia="Calibri" w:hAnsi="Calibri"/>
          <w:sz w:val="21"/>
          <w:szCs w:val="21"/>
        </w:rPr>
        <w:t xml:space="preserve"> This Deed records the entire agreement between the Parties in respect of the Premises and supersedes all prior arrangements, including any letter of intent or term sheet.</w:t>
      </w:r>
    </w:p>
    <w:p>
      <w:pPr>
        <w:spacing w:after="120" w:before="60" w:line="276"/>
        <w:ind w:left="720" w:hanging="720"/>
        <w:jc w:val="both"/>
      </w:pPr>
      <w:r>
        <w:rPr>
          <w:rFonts w:ascii="Calibri" w:cs="Calibri" w:eastAsia="Calibri" w:hAnsi="Calibri"/>
          <w:sz w:val="21"/>
          <w:szCs w:val="21"/>
        </w:rPr>
        <w:t xml:space="preserve">20.2	</w:t>
      </w:r>
      <w:r>
        <w:rPr>
          <w:rFonts w:ascii="Calibri" w:cs="Calibri" w:eastAsia="Calibri" w:hAnsi="Calibri"/>
          <w:b/>
          <w:bCs/>
          <w:sz w:val="21"/>
          <w:szCs w:val="21"/>
        </w:rPr>
        <w:t xml:space="preserve">Amendment.</w:t>
      </w:r>
      <w:r>
        <w:rPr>
          <w:rFonts w:ascii="Calibri" w:cs="Calibri" w:eastAsia="Calibri" w:hAnsi="Calibri"/>
          <w:sz w:val="21"/>
          <w:szCs w:val="21"/>
        </w:rPr>
        <w:t xml:space="preserve"> Any variation shall be by a written instrument, stamped and registered where required by law.</w:t>
      </w:r>
    </w:p>
    <w:p>
      <w:pPr>
        <w:spacing w:after="120" w:before="60" w:line="276"/>
        <w:ind w:left="720" w:hanging="720"/>
        <w:jc w:val="both"/>
      </w:pPr>
      <w:r>
        <w:rPr>
          <w:rFonts w:ascii="Calibri" w:cs="Calibri" w:eastAsia="Calibri" w:hAnsi="Calibri"/>
          <w:sz w:val="21"/>
          <w:szCs w:val="21"/>
        </w:rPr>
        <w:t xml:space="preserve">20.3	</w:t>
      </w:r>
      <w:r>
        <w:rPr>
          <w:rFonts w:ascii="Calibri" w:cs="Calibri" w:eastAsia="Calibri" w:hAnsi="Calibri"/>
          <w:b/>
          <w:bCs/>
          <w:sz w:val="21"/>
          <w:szCs w:val="21"/>
        </w:rPr>
        <w:t xml:space="preserve">Severability.</w:t>
      </w:r>
      <w:r>
        <w:rPr>
          <w:rFonts w:ascii="Calibri" w:cs="Calibri" w:eastAsia="Calibri" w:hAnsi="Calibri"/>
          <w:sz w:val="21"/>
          <w:szCs w:val="21"/>
        </w:rPr>
        <w:t xml:space="preserve"> Invalid provisions shall be severed and the remainder shall continue in effect.</w:t>
      </w:r>
    </w:p>
    <w:p>
      <w:pPr>
        <w:spacing w:after="120" w:before="60" w:line="276"/>
        <w:ind w:left="720" w:hanging="720"/>
        <w:jc w:val="both"/>
      </w:pPr>
      <w:r>
        <w:rPr>
          <w:rFonts w:ascii="Calibri" w:cs="Calibri" w:eastAsia="Calibri" w:hAnsi="Calibri"/>
          <w:sz w:val="21"/>
          <w:szCs w:val="21"/>
        </w:rPr>
        <w:t xml:space="preserve">20.4	</w:t>
      </w:r>
      <w:r>
        <w:rPr>
          <w:rFonts w:ascii="Calibri" w:cs="Calibri" w:eastAsia="Calibri" w:hAnsi="Calibri"/>
          <w:b/>
          <w:bCs/>
          <w:sz w:val="21"/>
          <w:szCs w:val="21"/>
        </w:rPr>
        <w:t xml:space="preserve">Waiver.</w:t>
      </w:r>
      <w:r>
        <w:rPr>
          <w:rFonts w:ascii="Calibri" w:cs="Calibri" w:eastAsia="Calibri" w:hAnsi="Calibri"/>
          <w:sz w:val="21"/>
          <w:szCs w:val="21"/>
        </w:rPr>
        <w:t xml:space="preserve"> Acceptance of Rent after a breach does not waive the breach.</w:t>
      </w:r>
    </w:p>
    <w:p>
      <w:pPr>
        <w:spacing w:after="120" w:before="60" w:line="276"/>
        <w:ind w:left="720" w:hanging="720"/>
        <w:jc w:val="both"/>
      </w:pPr>
      <w:r>
        <w:rPr>
          <w:rFonts w:ascii="Calibri" w:cs="Calibri" w:eastAsia="Calibri" w:hAnsi="Calibri"/>
          <w:sz w:val="21"/>
          <w:szCs w:val="21"/>
        </w:rPr>
        <w:t xml:space="preserve">20.5	</w:t>
      </w:r>
      <w:r>
        <w:rPr>
          <w:rFonts w:ascii="Calibri" w:cs="Calibri" w:eastAsia="Calibri" w:hAnsi="Calibri"/>
          <w:b/>
          <w:bCs/>
          <w:sz w:val="21"/>
          <w:szCs w:val="21"/>
        </w:rPr>
        <w:t xml:space="preserve">Counterparts.</w:t>
      </w:r>
      <w:r>
        <w:rPr>
          <w:rFonts w:ascii="Calibri" w:cs="Calibri" w:eastAsia="Calibri" w:hAnsi="Calibri"/>
          <w:sz w:val="21"/>
          <w:szCs w:val="21"/>
        </w:rPr>
        <w:t xml:space="preserve"> This Deed is executed in </w:t>
      </w:r>
      <w:r>
        <w:rPr>
          <w:rFonts w:ascii="Calibri" w:cs="Calibri" w:eastAsia="Calibri" w:hAnsi="Calibri"/>
          <w:b/>
          <w:bCs/>
          <w:sz w:val="21"/>
          <w:szCs w:val="21"/>
        </w:rPr>
        <w:t xml:space="preserve">[NUMBER]</w:t>
      </w:r>
      <w:r>
        <w:rPr>
          <w:rFonts w:ascii="Calibri" w:cs="Calibri" w:eastAsia="Calibri" w:hAnsi="Calibri"/>
          <w:sz w:val="21"/>
          <w:szCs w:val="21"/>
        </w:rPr>
        <w:t xml:space="preserve"> originals, one for each Party and one for registration purposes.</w:t>
      </w:r>
    </w:p>
    <w:p>
      <w:pPr>
        <w:spacing w:after="200"/>
      </w:pPr>
    </w:p>
    <w:p>
      <w:pPr>
        <w:spacing w:after="240" w:before="0" w:line="276"/>
        <w:jc w:val="both"/>
      </w:pPr>
      <w:r>
        <w:rPr>
          <w:rFonts w:ascii="Calibri" w:cs="Calibri" w:eastAsia="Calibri" w:hAnsi="Calibri"/>
          <w:b/>
          <w:bCs/>
          <w:sz w:val="21"/>
          <w:szCs w:val="21"/>
        </w:rPr>
        <w:t xml:space="preserve">IN WITNESS WHEREOF</w:t>
      </w:r>
      <w:r>
        <w:rPr>
          <w:rFonts w:ascii="Calibri" w:cs="Calibri" w:eastAsia="Calibri" w:hAnsi="Calibri"/>
          <w:sz w:val="21"/>
          <w:szCs w:val="21"/>
        </w:rPr>
        <w:t xml:space="preserve"> the Parties have executed this Deed on the date first written above in the presence of the witnesses named below.</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LESSOR</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[LESSOR NAME]</w:t>
            </w:r>
          </w:p>
          <w:p>
            <w:pPr>
              <w:spacing w:after="90" w:line="264"/>
            </w:pPr>
            <w:r>
              <w:rPr>
                <w:rFonts w:ascii="Calibri" w:cs="Calibri" w:eastAsia="Calibri" w:hAnsi="Calibri"/>
                <w:sz w:val="21"/>
                <w:szCs w:val="21"/>
              </w:rPr>
              <w:t xml:space="preserve">PAN: </w:t>
            </w:r>
            <w:r>
              <w:rPr>
                <w:rFonts w:ascii="Calibri" w:cs="Calibri" w:eastAsia="Calibri" w:hAnsi="Calibri"/>
                <w:b/>
                <w:bCs/>
                <w:sz w:val="21"/>
                <w:szCs w:val="21"/>
              </w:rPr>
              <w:t xml:space="preserve">[PAN]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LESSEE</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For </w:t>
            </w:r>
            <w:r>
              <w:rPr>
                <w:rFonts w:ascii="Calibri" w:cs="Calibri" w:eastAsia="Calibri" w:hAnsi="Calibri"/>
                <w:b/>
                <w:bCs/>
                <w:sz w:val="21"/>
                <w:szCs w:val="21"/>
              </w:rPr>
              <w:t xml:space="preserve">[LESSEE NAME]</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b/>
                <w:bCs/>
                <w:sz w:val="21"/>
                <w:szCs w:val="21"/>
              </w:rPr>
              <w:t xml:space="preserve">[DESIGNATION]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spacing w:after="24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WITNESS 1</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Address: </w:t>
            </w:r>
            <w:r>
              <w:rPr>
                <w:rFonts w:ascii="Calibri" w:cs="Calibri" w:eastAsia="Calibri" w:hAnsi="Calibri"/>
                <w:b/>
                <w:bCs/>
                <w:sz w:val="21"/>
                <w:szCs w:val="21"/>
              </w:rPr>
              <w:t xml:space="preserve">[ADDRESS]</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WITNESS 2</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Address: </w:t>
            </w:r>
            <w:r>
              <w:rPr>
                <w:rFonts w:ascii="Calibri" w:cs="Calibri" w:eastAsia="Calibri" w:hAnsi="Calibri"/>
                <w:b/>
                <w:bCs/>
                <w:sz w:val="21"/>
                <w:szCs w:val="21"/>
              </w:rPr>
              <w:t xml:space="preserve">[ADDRESS]</w:t>
            </w: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SCHEDULE I</w:t>
      </w:r>
    </w:p>
    <w:p>
      <w:pPr>
        <w:spacing w:after="260"/>
        <w:jc w:val="center"/>
      </w:pPr>
      <w:r>
        <w:rPr>
          <w:rFonts w:ascii="Calibri" w:cs="Calibri" w:eastAsia="Calibri" w:hAnsi="Calibri"/>
          <w:i/>
          <w:iCs/>
          <w:color w:val="6E7480"/>
          <w:sz w:val="19"/>
          <w:szCs w:val="19"/>
        </w:rPr>
        <w:t xml:space="preserve">Description of the Premises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084"/>
        <w:gridCol w:w="6554"/>
      </w:tblGrid>
      <w:tr>
        <w:trPr>
          <w:tblHeader/>
        </w:trPr>
        <w:tc>
          <w:tcPr>
            <w:tcW w:type="dxa" w:w="308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55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Particulars</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Address of the Premises</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[FULL ADDRESS INCLUDING FLOOR, UNIT, BUILDING, STREET, LOCALITY, CITY, PIN]</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Survey / plot / khata number</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[DETAILS]</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Carpet area</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sq. ft.</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Built-up area</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sq. ft.</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Super built-up / chargeable area</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sq. ft.</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Loading factor</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[PERCENTAGE]</w:t>
            </w:r>
            <w:r>
              <w:rPr>
                <w:rFonts w:ascii="Calibri" w:cs="Calibri" w:eastAsia="Calibri" w:hAnsi="Calibri"/>
                <w:sz w:val="19"/>
                <w:szCs w:val="19"/>
              </w:rPr>
              <w:t xml:space="preserve">%</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Car parking</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covered / </w:t>
            </w:r>
            <w:r>
              <w:rPr>
                <w:rFonts w:ascii="Calibri" w:cs="Calibri" w:eastAsia="Calibri" w:hAnsi="Calibri"/>
                <w:b/>
                <w:bCs/>
                <w:sz w:val="19"/>
                <w:szCs w:val="19"/>
              </w:rPr>
              <w:t xml:space="preserve">[NUMBER]</w:t>
            </w:r>
            <w:r>
              <w:rPr>
                <w:rFonts w:ascii="Calibri" w:cs="Calibri" w:eastAsia="Calibri" w:hAnsi="Calibri"/>
                <w:sz w:val="19"/>
                <w:szCs w:val="19"/>
              </w:rPr>
              <w:t xml:space="preserve"> open — bay numbers </w:t>
            </w:r>
            <w:r>
              <w:rPr>
                <w:rFonts w:ascii="Calibri" w:cs="Calibri" w:eastAsia="Calibri" w:hAnsi="Calibri"/>
                <w:b/>
                <w:bCs/>
                <w:sz w:val="19"/>
                <w:szCs w:val="19"/>
              </w:rPr>
              <w:t xml:space="preserve">[NUMBERS]</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Common areas and amenities</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[LIFTS, LOBBY, WASHROOMS, DG BACKUP, CHILLED WATER, SECURITY, etc.]</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Sanctioned electricity load</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[KVA]</w:t>
            </w:r>
            <w:r>
              <w:rPr>
                <w:rFonts w:ascii="Calibri" w:cs="Calibri" w:eastAsia="Calibri" w:hAnsi="Calibri"/>
                <w:sz w:val="19"/>
                <w:szCs w:val="19"/>
              </w:rPr>
              <w:t xml:space="preserve"> KVA — meter number </w:t>
            </w:r>
            <w:r>
              <w:rPr>
                <w:rFonts w:ascii="Calibri" w:cs="Calibri" w:eastAsia="Calibri" w:hAnsi="Calibri"/>
                <w:b/>
                <w:bCs/>
                <w:sz w:val="19"/>
                <w:szCs w:val="19"/>
              </w:rPr>
              <w:t xml:space="preserve">[NUMBER]</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DG backup</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[KVA]</w:t>
            </w:r>
            <w:r>
              <w:rPr>
                <w:rFonts w:ascii="Calibri" w:cs="Calibri" w:eastAsia="Calibri" w:hAnsi="Calibri"/>
                <w:sz w:val="19"/>
                <w:szCs w:val="19"/>
              </w:rPr>
              <w:t xml:space="preserve"> KVA</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Boundaries — East</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[BOUNDARY]</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Boundaries — West</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[BOUNDARY]</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Boundaries — North</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[BOUNDARY]</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Boundaries — South</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[BOUNDARY]</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Occupancy certificate</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Dated </w:t>
            </w:r>
            <w:r>
              <w:rPr>
                <w:rFonts w:ascii="Calibri" w:cs="Calibri" w:eastAsia="Calibri" w:hAnsi="Calibri"/>
                <w:b/>
                <w:bCs/>
                <w:sz w:val="19"/>
                <w:szCs w:val="19"/>
              </w:rPr>
              <w:t xml:space="preserve">[DATE]</w:t>
            </w:r>
            <w:r>
              <w:rPr>
                <w:rFonts w:ascii="Calibri" w:cs="Calibri" w:eastAsia="Calibri" w:hAnsi="Calibri"/>
                <w:sz w:val="19"/>
                <w:szCs w:val="19"/>
              </w:rPr>
              <w:t xml:space="preserve">, issued by </w:t>
            </w:r>
            <w:r>
              <w:rPr>
                <w:rFonts w:ascii="Calibri" w:cs="Calibri" w:eastAsia="Calibri" w:hAnsi="Calibri"/>
                <w:b/>
                <w:bCs/>
                <w:sz w:val="19"/>
                <w:szCs w:val="19"/>
              </w:rPr>
              <w:t xml:space="preserve">[AUTHORITY]</w:t>
            </w: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SCHEDULE II</w:t>
      </w:r>
    </w:p>
    <w:p>
      <w:pPr>
        <w:spacing w:after="260"/>
        <w:jc w:val="center"/>
      </w:pPr>
      <w:r>
        <w:rPr>
          <w:rFonts w:ascii="Calibri" w:cs="Calibri" w:eastAsia="Calibri" w:hAnsi="Calibri"/>
          <w:i/>
          <w:iCs/>
          <w:color w:val="6E7480"/>
          <w:sz w:val="19"/>
          <w:szCs w:val="19"/>
        </w:rPr>
        <w:t xml:space="preserve">Inventory of Fixtures and Fittings Handed Over</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578"/>
        <w:gridCol w:w="2120"/>
        <w:gridCol w:w="3662"/>
        <w:gridCol w:w="1156"/>
        <w:gridCol w:w="2122"/>
      </w:tblGrid>
      <w:tr>
        <w:trPr>
          <w:tblHeader/>
        </w:trPr>
        <w:tc>
          <w:tcPr>
            <w:tcW w:type="dxa" w:w="578"/>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w:t>
            </w:r>
          </w:p>
        </w:tc>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Description / make</w:t>
            </w:r>
          </w:p>
        </w:tc>
        <w:tc>
          <w:tcPr>
            <w:tcW w:type="dxa" w:w="1156"/>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Quantity</w:t>
            </w:r>
          </w:p>
        </w:tc>
        <w:tc>
          <w:tcPr>
            <w:tcW w:type="dxa" w:w="212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Condition at handover</w:t>
            </w:r>
          </w:p>
        </w:tc>
      </w:tr>
      <w:tr>
        <w:tc>
          <w:tcPr>
            <w:tcW w:type="dxa" w:w="578"/>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1</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[DESCRIPTION]</w:t>
            </w:r>
          </w:p>
        </w:tc>
        <w:tc>
          <w:tcPr>
            <w:tcW w:type="dxa" w:w="1156"/>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[QTY]</w:t>
            </w:r>
          </w:p>
        </w:tc>
        <w:tc>
          <w:tcPr>
            <w:tcW w:type="dxa" w:w="212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[NEW / GOOD / WORKING]</w:t>
            </w:r>
          </w:p>
        </w:tc>
      </w:tr>
      <w:tr>
        <w:tc>
          <w:tcPr>
            <w:tcW w:type="dxa" w:w="578"/>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2</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[DESCRIPTION]</w:t>
            </w:r>
          </w:p>
        </w:tc>
        <w:tc>
          <w:tcPr>
            <w:tcW w:type="dxa" w:w="1156"/>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[QTY]</w:t>
            </w:r>
          </w:p>
        </w:tc>
        <w:tc>
          <w:tcPr>
            <w:tcW w:type="dxa" w:w="212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[NEW / GOOD / WORKING]</w:t>
            </w:r>
          </w:p>
        </w:tc>
      </w:tr>
      <w:tr>
        <w:tc>
          <w:tcPr>
            <w:tcW w:type="dxa" w:w="578"/>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3</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[DESCRIPTION]</w:t>
            </w:r>
          </w:p>
        </w:tc>
        <w:tc>
          <w:tcPr>
            <w:tcW w:type="dxa" w:w="1156"/>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[QTY]</w:t>
            </w:r>
          </w:p>
        </w:tc>
        <w:tc>
          <w:tcPr>
            <w:tcW w:type="dxa" w:w="212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[NEW / GOOD / WORKING]</w:t>
            </w:r>
          </w:p>
        </w:tc>
      </w:tr>
      <w:tr>
        <w:tc>
          <w:tcPr>
            <w:tcW w:type="dxa" w:w="578"/>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4</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[DESCRIPTION]</w:t>
            </w:r>
          </w:p>
        </w:tc>
        <w:tc>
          <w:tcPr>
            <w:tcW w:type="dxa" w:w="1156"/>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[QTY]</w:t>
            </w:r>
          </w:p>
        </w:tc>
        <w:tc>
          <w:tcPr>
            <w:tcW w:type="dxa" w:w="212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[NEW / GOOD / WORKING]</w:t>
            </w:r>
          </w:p>
        </w:tc>
      </w:tr>
      <w:tr>
        <w:tc>
          <w:tcPr>
            <w:tcW w:type="dxa" w:w="578"/>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5</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[DESCRIPTION]</w:t>
            </w:r>
          </w:p>
        </w:tc>
        <w:tc>
          <w:tcPr>
            <w:tcW w:type="dxa" w:w="1156"/>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[QTY]</w:t>
            </w:r>
          </w:p>
        </w:tc>
        <w:tc>
          <w:tcPr>
            <w:tcW w:type="dxa" w:w="212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[NEW / GOOD / WORKING]</w:t>
            </w:r>
          </w:p>
        </w:tc>
      </w:tr>
      <w:tr>
        <w:tc>
          <w:tcPr>
            <w:tcW w:type="dxa" w:w="578"/>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6</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[DESCRIPTION]</w:t>
            </w:r>
          </w:p>
        </w:tc>
        <w:tc>
          <w:tcPr>
            <w:tcW w:type="dxa" w:w="1156"/>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[QTY]</w:t>
            </w:r>
          </w:p>
        </w:tc>
        <w:tc>
          <w:tcPr>
            <w:tcW w:type="dxa" w:w="212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[NEW / GOOD / WORKING]</w:t>
            </w:r>
          </w:p>
        </w:tc>
      </w:tr>
    </w:tbl>
    <w:p>
      <w:pPr>
        <w:spacing w:after="120"/>
      </w:pPr>
    </w:p>
    <w:p>
      <w:pPr>
        <w:spacing w:after="120" w:before="0" w:line="276"/>
        <w:jc w:val="both"/>
      </w:pPr>
      <w:r>
        <w:rPr>
          <w:rFonts w:ascii="Calibri" w:cs="Calibri" w:eastAsia="Calibri" w:hAnsi="Calibri"/>
          <w:color w:val="6E7480"/>
          <w:sz w:val="17"/>
          <w:szCs w:val="17"/>
        </w:rPr>
        <w:t xml:space="preserve">Photographs of the Premises taken at handover, initialled by both Parties, form part of this Schedule.</w:t>
      </w:r>
    </w:p>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SCHEDULE III</w:t>
      </w:r>
    </w:p>
    <w:p>
      <w:pPr>
        <w:spacing w:after="260"/>
        <w:jc w:val="center"/>
      </w:pPr>
      <w:r>
        <w:rPr>
          <w:rFonts w:ascii="Calibri" w:cs="Calibri" w:eastAsia="Calibri" w:hAnsi="Calibri"/>
          <w:i/>
          <w:iCs/>
          <w:color w:val="6E7480"/>
          <w:sz w:val="19"/>
          <w:szCs w:val="19"/>
        </w:rPr>
        <w:t xml:space="preserve">Financial Terms and Notice Details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084"/>
        <w:gridCol w:w="6554"/>
      </w:tblGrid>
      <w:tr>
        <w:trPr>
          <w:tblHeader/>
        </w:trPr>
        <w:tc>
          <w:tcPr>
            <w:tcW w:type="dxa" w:w="308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55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Particulars</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Monthly Rent</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 </w:t>
            </w:r>
            <w:r>
              <w:rPr>
                <w:rFonts w:ascii="Calibri" w:cs="Calibri" w:eastAsia="Calibri" w:hAnsi="Calibri"/>
                <w:b/>
                <w:bCs/>
                <w:sz w:val="19"/>
                <w:szCs w:val="19"/>
              </w:rPr>
              <w:t xml:space="preserve">[AMOUNT]</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Rent-free fit-out period</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days from </w:t>
            </w:r>
            <w:r>
              <w:rPr>
                <w:rFonts w:ascii="Calibri" w:cs="Calibri" w:eastAsia="Calibri" w:hAnsi="Calibri"/>
                <w:b/>
                <w:bCs/>
                <w:sz w:val="19"/>
                <w:szCs w:val="19"/>
              </w:rPr>
              <w:t xml:space="preserve">[DATE]</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Security deposit</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 </w:t>
            </w:r>
            <w:r>
              <w:rPr>
                <w:rFonts w:ascii="Calibri" w:cs="Calibri" w:eastAsia="Calibri" w:hAnsi="Calibri"/>
                <w:b/>
                <w:bCs/>
                <w:sz w:val="19"/>
                <w:szCs w:val="19"/>
              </w:rPr>
              <w:t xml:space="preserve">[AMOUNT]</w:t>
            </w:r>
            <w:r>
              <w:rPr>
                <w:rFonts w:ascii="Calibri" w:cs="Calibri" w:eastAsia="Calibri" w:hAnsi="Calibri"/>
                <w:sz w:val="19"/>
                <w:szCs w:val="19"/>
              </w:rPr>
              <w:t xml:space="preserve"> (</w:t>
            </w:r>
            <w:r>
              <w:rPr>
                <w:rFonts w:ascii="Calibri" w:cs="Calibri" w:eastAsia="Calibri" w:hAnsi="Calibri"/>
                <w:b/>
                <w:bCs/>
                <w:sz w:val="19"/>
                <w:szCs w:val="19"/>
              </w:rPr>
              <w:t xml:space="preserve">[NUMBER]</w:t>
            </w:r>
            <w:r>
              <w:rPr>
                <w:rFonts w:ascii="Calibri" w:cs="Calibri" w:eastAsia="Calibri" w:hAnsi="Calibri"/>
                <w:sz w:val="19"/>
                <w:szCs w:val="19"/>
              </w:rPr>
              <w:t xml:space="preserve"> months’ Rent), interest-free, refundable</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CAM charges</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 </w:t>
            </w:r>
            <w:r>
              <w:rPr>
                <w:rFonts w:ascii="Calibri" w:cs="Calibri" w:eastAsia="Calibri" w:hAnsi="Calibri"/>
                <w:b/>
                <w:bCs/>
                <w:sz w:val="19"/>
                <w:szCs w:val="19"/>
              </w:rPr>
              <w:t xml:space="preserve">[AMOUNT]</w:t>
            </w:r>
            <w:r>
              <w:rPr>
                <w:rFonts w:ascii="Calibri" w:cs="Calibri" w:eastAsia="Calibri" w:hAnsi="Calibri"/>
                <w:sz w:val="19"/>
                <w:szCs w:val="19"/>
              </w:rPr>
              <w:t xml:space="preserve"> per sq. ft. per month on </w:t>
            </w:r>
            <w:r>
              <w:rPr>
                <w:rFonts w:ascii="Calibri" w:cs="Calibri" w:eastAsia="Calibri" w:hAnsi="Calibri"/>
                <w:b/>
                <w:bCs/>
                <w:sz w:val="19"/>
                <w:szCs w:val="19"/>
              </w:rPr>
              <w:t xml:space="preserve">[AREA]</w:t>
            </w:r>
            <w:r>
              <w:rPr>
                <w:rFonts w:ascii="Calibri" w:cs="Calibri" w:eastAsia="Calibri" w:hAnsi="Calibri"/>
                <w:sz w:val="19"/>
                <w:szCs w:val="19"/>
              </w:rPr>
              <w:t xml:space="preserve"> sq. ft.</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Payment due date</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[DAY]</w:t>
            </w:r>
            <w:r>
              <w:rPr>
                <w:rFonts w:ascii="Calibri" w:cs="Calibri" w:eastAsia="Calibri" w:hAnsi="Calibri"/>
                <w:sz w:val="19"/>
                <w:szCs w:val="19"/>
              </w:rPr>
              <w:t xml:space="preserve"> of each month</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Lessor bank account</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[BANK, BRANCH, ACCOUNT NUMBER, IFSC]</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Lessor PAN</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[PAN]</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Lessor GSTIN (if registered)</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[GSTIN]</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Lessee GSTIN</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[GSTIN]</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Notices to Lessor</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 ADDRESS, EMAIL, PHONE]</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Notices to Lessee</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 DESIGNATION, ADDRESS, EMAIL, PHONE]</w:t>
            </w:r>
          </w:p>
        </w:tc>
      </w:tr>
    </w:tbl>
    <w:p>
      <w:pPr>
        <w:spacing w:after="140"/>
      </w:pPr>
    </w:p>
    <w:p>
      <w:pPr>
        <w:keepNext/>
        <w:spacing w:after="100" w:before="200"/>
        <w:outlineLvl w:val="1"/>
      </w:pPr>
      <w:r>
        <w:rPr>
          <w:rFonts w:ascii="Calibri" w:cs="Calibri" w:eastAsia="Calibri" w:hAnsi="Calibri"/>
          <w:b/>
          <w:bCs/>
          <w:color w:val="14161B"/>
          <w:sz w:val="21"/>
          <w:szCs w:val="21"/>
        </w:rPr>
        <w:t xml:space="preserve">Rent escalation schedule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1349"/>
        <w:gridCol w:w="1927"/>
        <w:gridCol w:w="1927"/>
        <w:gridCol w:w="2505"/>
        <w:gridCol w:w="1930"/>
      </w:tblGrid>
      <w:tr>
        <w:trPr>
          <w:tblHeader/>
        </w:trPr>
        <w:tc>
          <w:tcPr>
            <w:tcW w:type="dxa" w:w="134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Period</w:t>
            </w:r>
          </w:p>
        </w:tc>
        <w:tc>
          <w:tcPr>
            <w:tcW w:type="dxa" w:w="1927"/>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From</w:t>
            </w:r>
          </w:p>
        </w:tc>
        <w:tc>
          <w:tcPr>
            <w:tcW w:type="dxa" w:w="1927"/>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To</w:t>
            </w:r>
          </w:p>
        </w:tc>
        <w:tc>
          <w:tcPr>
            <w:tcW w:type="dxa" w:w="2505"/>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Monthly Rent (₹)</w:t>
            </w:r>
          </w:p>
        </w:tc>
        <w:tc>
          <w:tcPr>
            <w:tcW w:type="dxa" w:w="1930"/>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Escalation</w:t>
            </w:r>
          </w:p>
        </w:tc>
      </w:tr>
      <w:tr>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Year 1</w:t>
            </w:r>
          </w:p>
        </w:tc>
        <w:tc>
          <w:tcPr>
            <w:tcW w:type="dxa" w:w="1927"/>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[DATE]</w:t>
            </w:r>
          </w:p>
        </w:tc>
        <w:tc>
          <w:tcPr>
            <w:tcW w:type="dxa" w:w="1927"/>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[DATE]</w:t>
            </w:r>
          </w:p>
        </w:tc>
        <w:tc>
          <w:tcPr>
            <w:tcW w:type="dxa" w:w="250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930"/>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Base</w:t>
            </w:r>
          </w:p>
        </w:tc>
      </w:tr>
      <w:tr>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Year 2</w:t>
            </w:r>
          </w:p>
        </w:tc>
        <w:tc>
          <w:tcPr>
            <w:tcW w:type="dxa" w:w="1927"/>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[DATE]</w:t>
            </w:r>
          </w:p>
        </w:tc>
        <w:tc>
          <w:tcPr>
            <w:tcW w:type="dxa" w:w="1927"/>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[DATE]</w:t>
            </w:r>
          </w:p>
        </w:tc>
        <w:tc>
          <w:tcPr>
            <w:tcW w:type="dxa" w:w="250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930"/>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Nil</w:t>
            </w:r>
          </w:p>
        </w:tc>
      </w:tr>
      <w:tr>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Year 3</w:t>
            </w:r>
          </w:p>
        </w:tc>
        <w:tc>
          <w:tcPr>
            <w:tcW w:type="dxa" w:w="1927"/>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[DATE]</w:t>
            </w:r>
          </w:p>
        </w:tc>
        <w:tc>
          <w:tcPr>
            <w:tcW w:type="dxa" w:w="1927"/>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[DATE]</w:t>
            </w:r>
          </w:p>
        </w:tc>
        <w:tc>
          <w:tcPr>
            <w:tcW w:type="dxa" w:w="250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930"/>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Nil</w:t>
            </w:r>
          </w:p>
        </w:tc>
      </w:tr>
      <w:tr>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Year 4</w:t>
            </w:r>
          </w:p>
        </w:tc>
        <w:tc>
          <w:tcPr>
            <w:tcW w:type="dxa" w:w="1927"/>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[DATE]</w:t>
            </w:r>
          </w:p>
        </w:tc>
        <w:tc>
          <w:tcPr>
            <w:tcW w:type="dxa" w:w="1927"/>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[DATE]</w:t>
            </w:r>
          </w:p>
        </w:tc>
        <w:tc>
          <w:tcPr>
            <w:tcW w:type="dxa" w:w="250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930"/>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[PCT]</w:t>
            </w:r>
            <w:r>
              <w:rPr>
                <w:rFonts w:ascii="Calibri" w:cs="Calibri" w:eastAsia="Calibri" w:hAnsi="Calibri"/>
                <w:sz w:val="19"/>
                <w:szCs w:val="19"/>
              </w:rPr>
              <w:t xml:space="preserve">%</w:t>
            </w:r>
          </w:p>
        </w:tc>
      </w:tr>
      <w:tr>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Year 5</w:t>
            </w:r>
          </w:p>
        </w:tc>
        <w:tc>
          <w:tcPr>
            <w:tcW w:type="dxa" w:w="1927"/>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[DATE]</w:t>
            </w:r>
          </w:p>
        </w:tc>
        <w:tc>
          <w:tcPr>
            <w:tcW w:type="dxa" w:w="1927"/>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[DATE]</w:t>
            </w:r>
          </w:p>
        </w:tc>
        <w:tc>
          <w:tcPr>
            <w:tcW w:type="dxa" w:w="250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930"/>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Nil</w:t>
            </w: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SCHEDULE IV</w:t>
      </w:r>
    </w:p>
    <w:p>
      <w:pPr>
        <w:spacing w:after="260"/>
        <w:jc w:val="center"/>
      </w:pPr>
      <w:r>
        <w:rPr>
          <w:rFonts w:ascii="Calibri" w:cs="Calibri" w:eastAsia="Calibri" w:hAnsi="Calibri"/>
          <w:i/>
          <w:iCs/>
          <w:color w:val="6E7480"/>
          <w:sz w:val="19"/>
          <w:szCs w:val="19"/>
        </w:rPr>
        <w:t xml:space="preserve">Condition of the Premises at Handover</w:t>
      </w:r>
    </w:p>
    <w:p>
      <w:pPr>
        <w:spacing w:after="140" w:before="0" w:line="276"/>
        <w:jc w:val="both"/>
      </w:pPr>
      <w:r>
        <w:rPr>
          <w:rFonts w:ascii="Calibri" w:cs="Calibri" w:eastAsia="Calibri" w:hAnsi="Calibri"/>
          <w:sz w:val="21"/>
          <w:szCs w:val="21"/>
        </w:rPr>
        <w:t xml:space="preserve">The Lessor shall deliver the Premises in the following condition. Any item not delivered as specified shall be completed by the Lessor at its cost before the rent commencement date, failing which the rent-free period shall be extended day for day.</w:t>
      </w:r>
    </w:p>
    <w:p>
      <w:pPr>
        <w:pStyle w:val="ListParagraph"/>
        <w:numPr>
          <w:ilvl w:val="0"/>
          <w:numId w:val="2"/>
        </w:numPr>
        <w:spacing w:after="80" w:before="20" w:line="276"/>
        <w:jc w:val="both"/>
      </w:pPr>
      <w:r>
        <w:rPr>
          <w:rFonts w:ascii="Calibri" w:cs="Calibri" w:eastAsia="Calibri" w:hAnsi="Calibri"/>
          <w:sz w:val="21"/>
          <w:szCs w:val="21"/>
        </w:rPr>
        <w:t xml:space="preserve">Vacant, cleaned and free of debris, with all previous occupants’ fit-outs removed.</w:t>
      </w:r>
    </w:p>
    <w:p>
      <w:pPr>
        <w:pStyle w:val="ListParagraph"/>
        <w:numPr>
          <w:ilvl w:val="0"/>
          <w:numId w:val="2"/>
        </w:numPr>
        <w:spacing w:after="80" w:before="20" w:line="276"/>
        <w:jc w:val="both"/>
      </w:pPr>
      <w:r>
        <w:rPr>
          <w:rFonts w:ascii="Calibri" w:cs="Calibri" w:eastAsia="Calibri" w:hAnsi="Calibri"/>
          <w:sz w:val="21"/>
          <w:szCs w:val="21"/>
        </w:rPr>
        <w:t xml:space="preserve">Flooring: </w:t>
      </w:r>
      <w:r>
        <w:rPr>
          <w:rFonts w:ascii="Calibri" w:cs="Calibri" w:eastAsia="Calibri" w:hAnsi="Calibri"/>
          <w:b/>
          <w:bCs/>
          <w:sz w:val="21"/>
          <w:szCs w:val="21"/>
        </w:rPr>
        <w:t xml:space="preserve">[SPECIFY — e.g. levelled screed / vitrified tiles]</w:t>
      </w:r>
      <w:r>
        <w:rPr>
          <w:rFonts w:ascii="Calibri" w:cs="Calibri" w:eastAsia="Calibri" w:hAnsi="Calibri"/>
          <w:sz w:val="21"/>
          <w:szCs w:val="21"/>
        </w:rPr>
        <w:t xml:space="preserve">, free from cracks and level within tolerance.</w:t>
      </w:r>
    </w:p>
    <w:p>
      <w:pPr>
        <w:pStyle w:val="ListParagraph"/>
        <w:numPr>
          <w:ilvl w:val="0"/>
          <w:numId w:val="2"/>
        </w:numPr>
        <w:spacing w:after="80" w:before="20" w:line="276"/>
        <w:jc w:val="both"/>
      </w:pPr>
      <w:r>
        <w:rPr>
          <w:rFonts w:ascii="Calibri" w:cs="Calibri" w:eastAsia="Calibri" w:hAnsi="Calibri"/>
          <w:sz w:val="21"/>
          <w:szCs w:val="21"/>
        </w:rPr>
        <w:t xml:space="preserve">Walls and ceiling: plastered and painted; false ceiling grid </w:t>
      </w:r>
      <w:r>
        <w:rPr>
          <w:rFonts w:ascii="Calibri" w:cs="Calibri" w:eastAsia="Calibri" w:hAnsi="Calibri"/>
          <w:b/>
          <w:bCs/>
          <w:sz w:val="21"/>
          <w:szCs w:val="21"/>
        </w:rPr>
        <w:t xml:space="preserve">[PROVIDED / NOT PROVIDED]</w:t>
      </w:r>
      <w:r>
        <w:rPr>
          <w:rFonts w:ascii="Calibri" w:cs="Calibri" w:eastAsia="Calibri" w:hAnsi="Calibri"/>
          <w:sz w:val="21"/>
          <w:szCs w:val="21"/>
        </w:rPr>
        <w:t xml:space="preserve">.</w:t>
      </w:r>
    </w:p>
    <w:p>
      <w:pPr>
        <w:pStyle w:val="ListParagraph"/>
        <w:numPr>
          <w:ilvl w:val="0"/>
          <w:numId w:val="2"/>
        </w:numPr>
        <w:spacing w:after="80" w:before="20" w:line="276"/>
        <w:jc w:val="both"/>
      </w:pPr>
      <w:r>
        <w:rPr>
          <w:rFonts w:ascii="Calibri" w:cs="Calibri" w:eastAsia="Calibri" w:hAnsi="Calibri"/>
          <w:sz w:val="21"/>
          <w:szCs w:val="21"/>
        </w:rPr>
        <w:t xml:space="preserve">Electrical: sanctioned load of </w:t>
      </w:r>
      <w:r>
        <w:rPr>
          <w:rFonts w:ascii="Calibri" w:cs="Calibri" w:eastAsia="Calibri" w:hAnsi="Calibri"/>
          <w:b/>
          <w:bCs/>
          <w:sz w:val="21"/>
          <w:szCs w:val="21"/>
        </w:rPr>
        <w:t xml:space="preserve">[KVA]</w:t>
      </w:r>
      <w:r>
        <w:rPr>
          <w:rFonts w:ascii="Calibri" w:cs="Calibri" w:eastAsia="Calibri" w:hAnsi="Calibri"/>
          <w:sz w:val="21"/>
          <w:szCs w:val="21"/>
        </w:rPr>
        <w:t xml:space="preserve"> KVA energised at the Lessee’s meter, with a separate energy meter installed and tested.</w:t>
      </w:r>
    </w:p>
    <w:p>
      <w:pPr>
        <w:pStyle w:val="ListParagraph"/>
        <w:numPr>
          <w:ilvl w:val="0"/>
          <w:numId w:val="2"/>
        </w:numPr>
        <w:spacing w:after="80" w:before="20" w:line="276"/>
        <w:jc w:val="both"/>
      </w:pPr>
      <w:r>
        <w:rPr>
          <w:rFonts w:ascii="Calibri" w:cs="Calibri" w:eastAsia="Calibri" w:hAnsi="Calibri"/>
          <w:sz w:val="21"/>
          <w:szCs w:val="21"/>
        </w:rPr>
        <w:t xml:space="preserve">Air-conditioning: </w:t>
      </w:r>
      <w:r>
        <w:rPr>
          <w:rFonts w:ascii="Calibri" w:cs="Calibri" w:eastAsia="Calibri" w:hAnsi="Calibri"/>
          <w:b/>
          <w:bCs/>
          <w:sz w:val="21"/>
          <w:szCs w:val="21"/>
        </w:rPr>
        <w:t xml:space="preserve">[SPECIFY — e.g. chilled water tap-off points at agreed locations / VRF outdoor units installed]</w:t>
      </w:r>
      <w:r>
        <w:rPr>
          <w:rFonts w:ascii="Calibri" w:cs="Calibri" w:eastAsia="Calibri" w:hAnsi="Calibri"/>
          <w:sz w:val="21"/>
          <w:szCs w:val="21"/>
        </w:rPr>
        <w:t xml:space="preserve">.</w:t>
      </w:r>
    </w:p>
    <w:p>
      <w:pPr>
        <w:pStyle w:val="ListParagraph"/>
        <w:numPr>
          <w:ilvl w:val="0"/>
          <w:numId w:val="2"/>
        </w:numPr>
        <w:spacing w:after="80" w:before="20" w:line="276"/>
        <w:jc w:val="both"/>
      </w:pPr>
      <w:r>
        <w:rPr>
          <w:rFonts w:ascii="Calibri" w:cs="Calibri" w:eastAsia="Calibri" w:hAnsi="Calibri"/>
          <w:sz w:val="21"/>
          <w:szCs w:val="21"/>
        </w:rPr>
        <w:t xml:space="preserve">Plumbing: washrooms functional, with water supply and drainage tested and free from leakage.</w:t>
      </w:r>
    </w:p>
    <w:p>
      <w:pPr>
        <w:pStyle w:val="ListParagraph"/>
        <w:numPr>
          <w:ilvl w:val="0"/>
          <w:numId w:val="2"/>
        </w:numPr>
        <w:spacing w:after="80" w:before="20" w:line="276"/>
        <w:jc w:val="both"/>
      </w:pPr>
      <w:r>
        <w:rPr>
          <w:rFonts w:ascii="Calibri" w:cs="Calibri" w:eastAsia="Calibri" w:hAnsi="Calibri"/>
          <w:sz w:val="21"/>
          <w:szCs w:val="21"/>
        </w:rPr>
        <w:t xml:space="preserve">Fire safety: sprinklers, smoke detectors, hydrants and fire exits installed, tested and compliant, with a valid fire no-objection certificate for the building.</w:t>
      </w:r>
    </w:p>
    <w:p>
      <w:pPr>
        <w:pStyle w:val="ListParagraph"/>
        <w:numPr>
          <w:ilvl w:val="0"/>
          <w:numId w:val="2"/>
        </w:numPr>
        <w:spacing w:after="80" w:before="20" w:line="276"/>
        <w:jc w:val="both"/>
      </w:pPr>
      <w:r>
        <w:rPr>
          <w:rFonts w:ascii="Calibri" w:cs="Calibri" w:eastAsia="Calibri" w:hAnsi="Calibri"/>
          <w:sz w:val="21"/>
          <w:szCs w:val="21"/>
        </w:rPr>
        <w:t xml:space="preserve">Telecommunications: riser and duct access available for the Lessee’s service providers.</w:t>
      </w:r>
    </w:p>
    <w:p>
      <w:pPr>
        <w:pStyle w:val="ListParagraph"/>
        <w:numPr>
          <w:ilvl w:val="0"/>
          <w:numId w:val="2"/>
        </w:numPr>
        <w:spacing w:after="80" w:before="20" w:line="276"/>
        <w:jc w:val="both"/>
      </w:pPr>
      <w:r>
        <w:rPr>
          <w:rFonts w:ascii="Calibri" w:cs="Calibri" w:eastAsia="Calibri" w:hAnsi="Calibri"/>
          <w:sz w:val="21"/>
          <w:szCs w:val="21"/>
        </w:rPr>
        <w:t xml:space="preserve">Statutory: valid occupancy certificate; no unauthorised construction or deviation from the sanctioned plan.</w:t>
      </w:r>
    </w:p>
    <w:p>
      <w:pPr>
        <w:pStyle w:val="ListParagraph"/>
        <w:numPr>
          <w:ilvl w:val="0"/>
          <w:numId w:val="2"/>
        </w:numPr>
        <w:spacing w:after="80" w:before="20" w:line="276"/>
        <w:jc w:val="both"/>
      </w:pPr>
      <w:r>
        <w:rPr>
          <w:rFonts w:ascii="Calibri" w:cs="Calibri" w:eastAsia="Calibri" w:hAnsi="Calibri"/>
          <w:sz w:val="21"/>
          <w:szCs w:val="21"/>
        </w:rPr>
        <w:t xml:space="preserve">Documents delivered: copies of title deed, occupancy certificate, latest property tax receipt, building fire NOC and, where applicable, the mortgagee’s no-objection letter.</w:t>
      </w:r>
    </w:p>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Registration is not optional</w:t>
      </w:r>
    </w:p>
    <w:p>
      <w:pPr>
        <w:spacing w:after="60" w:line="264"/>
        <w:jc w:val="both"/>
      </w:pPr>
      <w:r>
        <w:rPr>
          <w:rFonts w:ascii="Calibri" w:cs="Calibri" w:eastAsia="Calibri" w:hAnsi="Calibri"/>
          <w:sz w:val="19"/>
          <w:szCs w:val="19"/>
        </w:rPr>
        <w:t xml:space="preserve">Section 107 of the Transfer of Property Act, 1882 requires a lease from year to year, for a term exceeding one year, or reserving a yearly rent, to be made by a registered instrument, and Section 17(1)(d) of the Registration Act, 1908 makes such a lease compulsorily registrable. An unregistered lease of this kind is not admissible in evidence to prove the terms of the tenancy, which in practice means the tenant may be treated as a monthly tenant. The common workaround of an eleven-month unregistered agreement is a genuine option for short arrangements, but it gives the lessee no security of tenure and no enforceable lock-in.</w:t>
      </w:r>
    </w:p>
    <w:p>
      <w:pPr>
        <w:keepNext/>
        <w:spacing w:after="40" w:before="140"/>
      </w:pPr>
      <w:r>
        <w:rPr>
          <w:rFonts w:ascii="Calibri" w:cs="Calibri" w:eastAsia="Calibri" w:hAnsi="Calibri"/>
          <w:b/>
          <w:bCs/>
          <w:color w:val="14161B"/>
          <w:sz w:val="20"/>
          <w:szCs w:val="20"/>
        </w:rPr>
        <w:t xml:space="preserve">Stamp duty is State-specific and material</w:t>
      </w:r>
    </w:p>
    <w:p>
      <w:pPr>
        <w:spacing w:after="60" w:line="264"/>
        <w:jc w:val="both"/>
      </w:pPr>
      <w:r>
        <w:rPr>
          <w:rFonts w:ascii="Calibri" w:cs="Calibri" w:eastAsia="Calibri" w:hAnsi="Calibri"/>
          <w:sz w:val="19"/>
          <w:szCs w:val="19"/>
        </w:rPr>
        <w:t xml:space="preserve">Stamp duty on leases is generally computed on a formula combining rent, term, security deposit and any premium, and differs substantially between States. Duty on a five-year commercial lease can run into lakhs. Get the figure from the jurisdictional Sub-Registrar or a local advocate before you agree who bears it — Clause 17.2 is often signed without either side knowing the number.</w:t>
      </w:r>
    </w:p>
    <w:p>
      <w:pPr>
        <w:keepNext/>
        <w:spacing w:after="40" w:before="140"/>
      </w:pPr>
      <w:r>
        <w:rPr>
          <w:rFonts w:ascii="Calibri" w:cs="Calibri" w:eastAsia="Calibri" w:hAnsi="Calibri"/>
          <w:b/>
          <w:bCs/>
          <w:color w:val="14161B"/>
          <w:sz w:val="20"/>
          <w:szCs w:val="20"/>
        </w:rPr>
        <w:t xml:space="preserve">TDS on rent</w:t>
      </w:r>
    </w:p>
    <w:p>
      <w:pPr>
        <w:spacing w:after="60" w:line="264"/>
        <w:jc w:val="both"/>
      </w:pPr>
      <w:r>
        <w:rPr>
          <w:rFonts w:ascii="Calibri" w:cs="Calibri" w:eastAsia="Calibri" w:hAnsi="Calibri"/>
          <w:sz w:val="19"/>
          <w:szCs w:val="19"/>
        </w:rPr>
        <w:t xml:space="preserve">From 1 April 2026 deduction is under Section 393 of the Income-tax Act, 2025, in the table entry that replaced Section 194-I. The rate differs between plant and machinery and land, building and furniture, and the monthly threshold has become significant in practice. Quote the new payment code, not "194-I", on the challan and the quarterly return. Confirm the current rate and threshold with your chartered accountant.</w:t>
      </w:r>
    </w:p>
    <w:p>
      <w:pPr>
        <w:keepNext/>
        <w:spacing w:after="40" w:before="140"/>
      </w:pPr>
      <w:r>
        <w:rPr>
          <w:rFonts w:ascii="Calibri" w:cs="Calibri" w:eastAsia="Calibri" w:hAnsi="Calibri"/>
          <w:b/>
          <w:bCs/>
          <w:color w:val="14161B"/>
          <w:sz w:val="20"/>
          <w:szCs w:val="20"/>
        </w:rPr>
        <w:t xml:space="preserve">GST on commercial rent</w:t>
      </w:r>
    </w:p>
    <w:p>
      <w:pPr>
        <w:spacing w:after="60" w:line="264"/>
        <w:jc w:val="both"/>
      </w:pPr>
      <w:r>
        <w:rPr>
          <w:rFonts w:ascii="Calibri" w:cs="Calibri" w:eastAsia="Calibri" w:hAnsi="Calibri"/>
          <w:sz w:val="19"/>
          <w:szCs w:val="19"/>
        </w:rPr>
        <w:t xml:space="preserve">Renting of commercial immovable property is a taxable supply. Where the landlord is unregistered and the tenant is registered, the tax has been placed on the tenant under reverse charge, with subsequent amendments affecting composition taxpayers. This position has moved more than once — verify the notification in force on the date of the lease rather than relying on Clause 2.5 alone.</w:t>
      </w:r>
    </w:p>
    <w:p>
      <w:pPr>
        <w:keepNext/>
        <w:spacing w:after="40" w:before="140"/>
      </w:pPr>
      <w:r>
        <w:rPr>
          <w:rFonts w:ascii="Calibri" w:cs="Calibri" w:eastAsia="Calibri" w:hAnsi="Calibri"/>
          <w:b/>
          <w:bCs/>
          <w:color w:val="14161B"/>
          <w:sz w:val="20"/>
          <w:szCs w:val="20"/>
        </w:rPr>
        <w:t xml:space="preserve">Mortgagee no-objection</w:t>
      </w:r>
    </w:p>
    <w:p>
      <w:pPr>
        <w:spacing w:after="60" w:line="264"/>
        <w:jc w:val="both"/>
      </w:pPr>
      <w:r>
        <w:rPr>
          <w:rFonts w:ascii="Calibri" w:cs="Calibri" w:eastAsia="Calibri" w:hAnsi="Calibri"/>
          <w:sz w:val="19"/>
          <w:szCs w:val="19"/>
        </w:rPr>
        <w:t xml:space="preserve">Clause 8.1(c) matters more than it looks. If the property is mortgaged and the lender has not consented, the lease may not bind the lender on enforcement, and the tenant can be dispossessed despite a registered lease. Ask for the encumbrance certificate and the lender NOC before paying the deposit.</w:t>
      </w:r>
    </w:p>
    <w:p>
      <w:pPr>
        <w:keepNext/>
        <w:spacing w:after="40" w:before="140"/>
      </w:pPr>
      <w:r>
        <w:rPr>
          <w:rFonts w:ascii="Calibri" w:cs="Calibri" w:eastAsia="Calibri" w:hAnsi="Calibri"/>
          <w:b/>
          <w:bCs/>
          <w:color w:val="14161B"/>
          <w:sz w:val="20"/>
          <w:szCs w:val="20"/>
        </w:rPr>
        <w:t xml:space="preserve">Security deposit protection</w:t>
      </w:r>
    </w:p>
    <w:p>
      <w:pPr>
        <w:spacing w:after="60" w:line="264"/>
        <w:jc w:val="both"/>
      </w:pPr>
      <w:r>
        <w:rPr>
          <w:rFonts w:ascii="Calibri" w:cs="Calibri" w:eastAsia="Calibri" w:hAnsi="Calibri"/>
          <w:sz w:val="19"/>
          <w:szCs w:val="19"/>
        </w:rPr>
        <w:t xml:space="preserve">Deposit recovery is the single most common commercial lease dispute in India. Clause 3.4 gives the lessee a right to remain in occupation rent-free until refund, which is a far more effective lever than a damages claim. Lessors will resist it; lessees should hold the line, or at minimum secure the right to adjust the final months’ rent under Clause 3.2.</w:t>
      </w:r>
    </w:p>
    <w:p>
      <w:pPr>
        <w:keepNext/>
        <w:spacing w:after="40" w:before="140"/>
      </w:pPr>
      <w:r>
        <w:rPr>
          <w:rFonts w:ascii="Calibri" w:cs="Calibri" w:eastAsia="Calibri" w:hAnsi="Calibri"/>
          <w:b/>
          <w:bCs/>
          <w:color w:val="14161B"/>
          <w:sz w:val="20"/>
          <w:szCs w:val="20"/>
        </w:rPr>
        <w:t xml:space="preserve">Lock-in works both ways</w:t>
      </w:r>
    </w:p>
    <w:p>
      <w:pPr>
        <w:spacing w:after="60" w:line="264"/>
        <w:jc w:val="both"/>
      </w:pPr>
      <w:r>
        <w:rPr>
          <w:rFonts w:ascii="Calibri" w:cs="Calibri" w:eastAsia="Calibri" w:hAnsi="Calibri"/>
          <w:sz w:val="19"/>
          <w:szCs w:val="19"/>
        </w:rPr>
        <w:t xml:space="preserve">Clause 1.3 binds both Parties. Lessees should check that the lock-in is mutual and that Clauses 12, 13 and 15 carve out termination for damage, force majeure and lessor default, as drafted here. A one-sided lock-in binding only the lessee is common and should be negotiated.</w:t>
      </w:r>
    </w:p>
    <w:p>
      <w:pPr>
        <w:keepNext/>
        <w:spacing w:after="40" w:before="140"/>
      </w:pPr>
      <w:r>
        <w:rPr>
          <w:rFonts w:ascii="Calibri" w:cs="Calibri" w:eastAsia="Calibri" w:hAnsi="Calibri"/>
          <w:b/>
          <w:bCs/>
          <w:color w:val="14161B"/>
          <w:sz w:val="20"/>
          <w:szCs w:val="20"/>
        </w:rPr>
        <w:t xml:space="preserve">Do not permit self-help eviction</w:t>
      </w:r>
    </w:p>
    <w:p>
      <w:pPr>
        <w:spacing w:after="60" w:line="264"/>
        <w:jc w:val="both"/>
      </w:pPr>
      <w:r>
        <w:rPr>
          <w:rFonts w:ascii="Calibri" w:cs="Calibri" w:eastAsia="Calibri" w:hAnsi="Calibri"/>
          <w:sz w:val="19"/>
          <w:szCs w:val="19"/>
        </w:rPr>
        <w:t xml:space="preserve">Clause 15.4 is deliberate. Locking premises or cutting utilities without due process exposes the lessor to criminal and civil consequences and usually destroys its position in any subsequent proceeding.</w:t>
      </w:r>
    </w:p>
    <w:p>
      <w:pPr>
        <w:keepNext/>
        <w:spacing w:after="40" w:before="140"/>
      </w:pPr>
      <w:r>
        <w:rPr>
          <w:rFonts w:ascii="Calibri" w:cs="Calibri" w:eastAsia="Calibri" w:hAnsi="Calibri"/>
          <w:b/>
          <w:bCs/>
          <w:color w:val="14161B"/>
          <w:sz w:val="20"/>
          <w:szCs w:val="20"/>
        </w:rPr>
        <w:t xml:space="preserve">Area definitions</w:t>
      </w:r>
    </w:p>
    <w:p>
      <w:pPr>
        <w:spacing w:after="60" w:line="264"/>
        <w:jc w:val="both"/>
      </w:pPr>
      <w:r>
        <w:rPr>
          <w:rFonts w:ascii="Calibri" w:cs="Calibri" w:eastAsia="Calibri" w:hAnsi="Calibri"/>
          <w:sz w:val="19"/>
          <w:szCs w:val="19"/>
        </w:rPr>
        <w:t xml:space="preserve">Record carpet, built-up and chargeable area separately in Schedule I, and state which one the rent is computed on. Disputes about loading factor are avoidable and are entirely a drafting failure.</w:t>
      </w:r>
    </w:p>
    <w:p>
      <w:pPr>
        <w:keepNext/>
        <w:spacing w:after="40" w:before="140"/>
      </w:pPr>
      <w:r>
        <w:rPr>
          <w:rFonts w:ascii="Calibri" w:cs="Calibri" w:eastAsia="Calibri" w:hAnsi="Calibri"/>
          <w:b/>
          <w:bCs/>
          <w:color w:val="14161B"/>
          <w:sz w:val="20"/>
          <w:szCs w:val="20"/>
        </w:rPr>
        <w:t xml:space="preserve">Execution formalities</w:t>
      </w:r>
    </w:p>
    <w:p>
      <w:pPr>
        <w:spacing w:after="60" w:line="264"/>
        <w:jc w:val="both"/>
      </w:pPr>
      <w:r>
        <w:rPr>
          <w:rFonts w:ascii="Calibri" w:cs="Calibri" w:eastAsia="Calibri" w:hAnsi="Calibri"/>
          <w:sz w:val="19"/>
          <w:szCs w:val="19"/>
        </w:rPr>
        <w:t xml:space="preserve">Execute in the required number of originals, on stamp paper of the correct value purchased in the correct State, with two witnesses, and present for registration within four months of execution. Delay attracts penalty; beyond eight months registration requires the Registrar’s condonation.</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Indian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Stamp duty, registration fees and GST treatment vary by State and change frequently — verify your State’s position before executing.</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2026-08-21T12:53:52.818Z</dcterms:created>
  <dcterms:modified xsi:type="dcterms:W3CDTF">2026-08-21T12:53:52.818Z</dcterms:modified>
</cp:coreProperties>
</file>

<file path=docProps/custom.xml><?xml version="1.0" encoding="utf-8"?>
<Properties xmlns="http://schemas.openxmlformats.org/officeDocument/2006/custom-properties" xmlns:vt="http://schemas.openxmlformats.org/officeDocument/2006/docPropsVTypes"/>
</file>