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CERTIFIED TRUE COPY OF A BOARD RESOLUTION</w:t>
      </w:r>
    </w:p>
    <w:p>
      <w:pPr>
        <w:spacing w:after="260"/>
        <w:jc w:val="center"/>
      </w:pPr>
      <w:r>
        <w:rPr>
          <w:rFonts w:ascii="Calibri" w:cs="Calibri" w:eastAsia="Calibri" w:hAnsi="Calibri"/>
          <w:i/>
          <w:iCs/>
          <w:color w:val="6E7480"/>
          <w:sz w:val="19"/>
          <w:szCs w:val="19"/>
        </w:rPr>
        <w:t xml:space="preserve">Approval of a related party transaction</w:t>
      </w:r>
    </w:p>
    <w:p>
      <w:pPr>
        <w:spacing w:after="180" w:before="0" w:line="276"/>
        <w:jc w:val="both"/>
      </w:pPr>
      <w:r>
        <w:rPr>
          <w:rFonts w:ascii="Calibri" w:cs="Calibri" w:eastAsia="Calibri" w:hAnsi="Calibri"/>
          <w:i/>
          <w:iCs/>
          <w:color w:val="6E7480"/>
          <w:sz w:val="21"/>
          <w:szCs w:val="21"/>
        </w:rPr>
        <w:t xml:space="preserve">Two questions decide how this resolution is drafted. Is the transaction in the ordinary course of business and on arm’s length terms? And does it cross the threshold above which shareholder approval is required? Answer both in Annexure A before drafting, and record the reasoning — an assertion that a transaction is at arm’s length, with nothing behind it, is not a defence.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 of the Board of Directors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time and place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w:t>
            </w:r>
            <w:r>
              <w:rPr>
                <w:rFonts w:ascii="Calibri" w:cs="Calibri" w:eastAsia="Calibri" w:hAnsi="Calibri"/>
                <w:b/>
                <w:bCs/>
                <w:sz w:val="19"/>
                <w:szCs w:val="19"/>
              </w:rPr>
              <w:t xml:space="preserve">[TIME]</w:t>
            </w:r>
            <w:r>
              <w:rPr>
                <w:rFonts w:ascii="Calibri" w:cs="Calibri" w:eastAsia="Calibri" w:hAnsi="Calibri"/>
                <w:sz w:val="19"/>
                <w:szCs w:val="19"/>
              </w:rPr>
              <w:t xml:space="preserve">, at </w:t>
            </w:r>
            <w:r>
              <w:rPr>
                <w:rFonts w:ascii="Calibri" w:cs="Calibri" w:eastAsia="Calibri" w:hAnsi="Calibri"/>
                <w:b/>
                <w:bCs/>
                <w:sz w:val="19"/>
                <w:szCs w:val="19"/>
              </w:rPr>
              <w:t xml:space="preserve">[PLACE]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present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DIN]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Interested directors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r>
              <w:rPr>
                <w:rFonts w:ascii="Calibri" w:cs="Calibri" w:eastAsia="Calibri" w:hAnsi="Calibri"/>
                <w:sz w:val="19"/>
                <w:szCs w:val="19"/>
              </w:rPr>
              <w:t xml:space="preserve"> — disclosed interest and </w:t>
            </w:r>
            <w:r>
              <w:rPr>
                <w:rFonts w:ascii="Calibri" w:cs="Calibri" w:eastAsia="Calibri" w:hAnsi="Calibri"/>
                <w:b/>
                <w:bCs/>
                <w:sz w:val="19"/>
                <w:szCs w:val="19"/>
              </w:rPr>
              <w:t xml:space="preserve">[did not participate in the discussion or vote / participated after disclosure, as permitted]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Chairperson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 committee approval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applicable — the Company is not required to constitute an audit committee / Approved by the audit committee on ______]</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Shareholder approval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required — below the prescribed threshold and on arm’s length terms in the ordinary course / Ordinary resolution to be passed before the transaction is entered into]</w:t>
            </w:r>
          </w:p>
        </w:tc>
      </w:tr>
    </w:tbl>
    <w:p>
      <w:pPr>
        <w:spacing w:after="180"/>
      </w:pPr>
    </w:p>
    <w:p>
      <w:pPr>
        <w:keepNext/>
        <w:spacing w:after="120" w:before="280"/>
        <w:outlineLvl w:val="0"/>
      </w:pPr>
      <w:r>
        <w:rPr>
          <w:rFonts w:ascii="Calibri" w:cs="Calibri" w:eastAsia="Calibri" w:hAnsi="Calibri"/>
          <w:b/>
          <w:bCs/>
          <w:color w:val="14161B"/>
          <w:sz w:val="22"/>
          <w:szCs w:val="22"/>
        </w:rPr>
        <w:t xml:space="preserve">DISCLOSURE AND CONSIDERATION</w:t>
      </w:r>
    </w:p>
    <w:p>
      <w:pPr>
        <w:spacing w:after="120" w:before="0" w:line="276"/>
        <w:jc w:val="both"/>
      </w:pPr>
      <w:r>
        <w:rPr>
          <w:rFonts w:ascii="Calibri" w:cs="Calibri" w:eastAsia="Calibri" w:hAnsi="Calibri"/>
          <w:sz w:val="21"/>
          <w:szCs w:val="21"/>
        </w:rPr>
        <w:t xml:space="preserve">The Chairperson informed the Board that the Company proposed to enter into the transaction described in Annexure A with </w:t>
      </w:r>
      <w:r>
        <w:rPr>
          <w:rFonts w:ascii="Calibri" w:cs="Calibri" w:eastAsia="Calibri" w:hAnsi="Calibri"/>
          <w:b/>
          <w:bCs/>
          <w:sz w:val="21"/>
          <w:szCs w:val="21"/>
        </w:rPr>
        <w:t xml:space="preserve">[RELATED PARTY NAME]</w:t>
      </w:r>
      <w:r>
        <w:rPr>
          <w:rFonts w:ascii="Calibri" w:cs="Calibri" w:eastAsia="Calibri" w:hAnsi="Calibri"/>
          <w:sz w:val="21"/>
          <w:szCs w:val="21"/>
        </w:rPr>
        <w:t xml:space="preserve">, being a related party of the Company by reason of </w:t>
      </w:r>
      <w:r>
        <w:rPr>
          <w:rFonts w:ascii="Calibri" w:cs="Calibri" w:eastAsia="Calibri" w:hAnsi="Calibri"/>
          <w:b/>
          <w:bCs/>
          <w:sz w:val="21"/>
          <w:szCs w:val="21"/>
        </w:rPr>
        <w:t xml:space="preserve">[BASIS — e.g. a director of the Company is a director and member of that company / the counterparty is a private company in which a director is a member / the counterparty is a relative of a director]</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being interested in the transaction, disclosed the nature and extent of his or her interest in accordance with the disclosure already recorded in the register of contracts maintained by the Company, and confirmed that the disclosure in the prescribed form furnished at the first Board meeting of the financial year remained accurate.</w:t>
      </w:r>
    </w:p>
    <w:p>
      <w:pPr>
        <w:spacing w:after="100" w:before="0" w:line="276"/>
        <w:jc w:val="both"/>
      </w:pPr>
      <w:r>
        <w:rPr>
          <w:rFonts w:ascii="Calibri" w:cs="Calibri" w:eastAsia="Calibri" w:hAnsi="Calibri"/>
          <w:sz w:val="21"/>
          <w:szCs w:val="21"/>
        </w:rPr>
        <w:t xml:space="preserve">The Chairperson placed before the Board:</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draft </w:t>
      </w:r>
      <w:r>
        <w:rPr>
          <w:rFonts w:ascii="Calibri" w:cs="Calibri" w:eastAsia="Calibri" w:hAnsi="Calibri"/>
          <w:b/>
          <w:bCs/>
          <w:sz w:val="21"/>
          <w:szCs w:val="21"/>
        </w:rPr>
        <w:t xml:space="preserve">[agreement / purchase order / lease deed]</w:t>
      </w:r>
      <w:r>
        <w:rPr>
          <w:rFonts w:ascii="Calibri" w:cs="Calibri" w:eastAsia="Calibri" w:hAnsi="Calibri"/>
          <w:sz w:val="21"/>
          <w:szCs w:val="21"/>
        </w:rPr>
        <w:t xml:space="preserve"> recording the terms of the proposed transaction;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comparison of the proposed terms against terms available from unrelated parties, set out in Annexure B, together with the supporting quotations, market data and independent evidence relied on;</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computation at Annexure A of the value of the transaction, together with the aggregate value of all transactions with the same related party during the financial year;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register of contracts or arrangements in which directors are interested, maintained by the Company.</w:t>
      </w:r>
    </w:p>
    <w:p>
      <w:pPr>
        <w:spacing w:after="160" w:before="120" w:line="276"/>
        <w:jc w:val="both"/>
      </w:pPr>
      <w:r>
        <w:rPr>
          <w:rFonts w:ascii="Calibri" w:cs="Calibri" w:eastAsia="Calibri" w:hAnsi="Calibri"/>
          <w:sz w:val="21"/>
          <w:szCs w:val="21"/>
        </w:rPr>
        <w:t xml:space="preserve">The Board considered whether the transaction was in the ordinary course of the business of the Company and whether the terms were at arm’s length, and recorded its reasoning as set out in Annexure B. After discussion, </w:t>
      </w:r>
      <w:r>
        <w:rPr>
          <w:rFonts w:ascii="Calibri" w:cs="Calibri" w:eastAsia="Calibri" w:hAnsi="Calibri"/>
          <w:b/>
          <w:bCs/>
          <w:sz w:val="21"/>
          <w:szCs w:val="21"/>
        </w:rPr>
        <w:t xml:space="preserve">[the interested director having withdrawn from the meeting,]</w:t>
      </w:r>
      <w:r>
        <w:rPr>
          <w:rFonts w:ascii="Calibri" w:cs="Calibri" w:eastAsia="Calibri" w:hAnsi="Calibri"/>
          <w:sz w:val="21"/>
          <w:szCs w:val="21"/>
        </w:rPr>
        <w:t xml:space="preserve"> the Board passed the following resolution:</w:t>
      </w:r>
    </w:p>
    <w:p>
      <w:pPr>
        <w:keepNext/>
        <w:spacing w:after="120" w:before="280"/>
        <w:outlineLvl w:val="0"/>
      </w:pPr>
      <w:r>
        <w:rPr>
          <w:rFonts w:ascii="Calibri" w:cs="Calibri" w:eastAsia="Calibri" w:hAnsi="Calibri"/>
          <w:b/>
          <w:bCs/>
          <w:color w:val="14161B"/>
          <w:sz w:val="22"/>
          <w:szCs w:val="22"/>
        </w:rPr>
        <w:t xml:space="preserve">RESOLUTION</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Company do enter into the transaction with </w:t>
      </w:r>
      <w:r>
        <w:rPr>
          <w:rFonts w:ascii="Calibri" w:cs="Calibri" w:eastAsia="Calibri" w:hAnsi="Calibri"/>
          <w:b/>
          <w:bCs/>
          <w:sz w:val="21"/>
          <w:szCs w:val="21"/>
        </w:rPr>
        <w:t xml:space="preserve">[RELATED PARTY NAME]</w:t>
      </w:r>
      <w:r>
        <w:rPr>
          <w:rFonts w:ascii="Calibri" w:cs="Calibri" w:eastAsia="Calibri" w:hAnsi="Calibri"/>
          <w:sz w:val="21"/>
          <w:szCs w:val="21"/>
        </w:rPr>
        <w:t xml:space="preserve"> described below, on the terms set out in the draft </w:t>
      </w:r>
      <w:r>
        <w:rPr>
          <w:rFonts w:ascii="Calibri" w:cs="Calibri" w:eastAsia="Calibri" w:hAnsi="Calibri"/>
          <w:b/>
          <w:bCs/>
          <w:sz w:val="21"/>
          <w:szCs w:val="21"/>
        </w:rPr>
        <w:t xml:space="preserve">[agreement]</w:t>
      </w:r>
      <w:r>
        <w:rPr>
          <w:rFonts w:ascii="Calibri" w:cs="Calibri" w:eastAsia="Calibri" w:hAnsi="Calibri"/>
          <w:sz w:val="21"/>
          <w:szCs w:val="21"/>
        </w:rPr>
        <w:t xml:space="preserve"> placed before the Board and initialled by the Chairperson for the purpose of identification: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of the related party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the relationship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THE PRECISE BASIS]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the transaction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[Sale, purchase or supply of goods or materials / Selling or otherwise disposing of, or buying, property of any kind / Leasing of property / Availing or rendering of services / Appointment of an agent for purchase or sale / Appointment to any office or place of profit / Underwriting the subscription of securities]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Particulars of the transaction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what is being supplied, by whom, on what terms]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Duration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r>
              <w:rPr>
                <w:rFonts w:ascii="Calibri" w:cs="Calibri" w:eastAsia="Calibri" w:hAnsi="Calibri"/>
                <w:sz w:val="19"/>
                <w:szCs w:val="19"/>
              </w:rPr>
              <w:t xml:space="preserve">, from </w:t>
            </w:r>
            <w:r>
              <w:rPr>
                <w:rFonts w:ascii="Calibri" w:cs="Calibri" w:eastAsia="Calibri" w:hAnsi="Calibri"/>
                <w:b/>
                <w:bCs/>
                <w:sz w:val="19"/>
                <w:szCs w:val="19"/>
              </w:rPr>
              <w:t xml:space="preserve">[DATE]</w:t>
            </w:r>
            <w:r>
              <w:rPr>
                <w:rFonts w:ascii="Calibri" w:cs="Calibri" w:eastAsia="Calibri" w:hAnsi="Calibri"/>
                <w:sz w:val="19"/>
                <w:szCs w:val="19"/>
              </w:rPr>
              <w:t xml:space="preserve"> to </w:t>
            </w: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of the transaction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w:t>
            </w:r>
            <w:r>
              <w:rPr>
                <w:rFonts w:ascii="Calibri" w:cs="Calibri" w:eastAsia="Calibri" w:hAnsi="Calibri"/>
                <w:b/>
                <w:bCs/>
                <w:sz w:val="19"/>
                <w:szCs w:val="19"/>
              </w:rPr>
              <w:t xml:space="preserve">[per annum / in aggregate over the term]</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Material terms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[PRICE, PAYMENT TERMS, DELIVERY, TERMINATION, ANY EXCLUSIVITY]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Advance paid, if 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r>
              <w:rPr>
                <w:rFonts w:ascii="Calibri" w:cs="Calibri" w:eastAsia="Calibri" w:hAnsi="Calibri"/>
                <w:b/>
                <w:bCs/>
                <w:sz w:val="19"/>
                <w:szCs w:val="19"/>
              </w:rPr>
              <w:t xml:space="preserve"> / Nil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Manner of determining the price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e.g. by reference to the three independent quotations at Annexure B, at a discount of ____ per cent to the lowest]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in the ordinary course of business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r>
              <w:rPr>
                <w:rFonts w:ascii="Calibri" w:cs="Calibri" w:eastAsia="Calibri" w:hAnsi="Calibri"/>
                <w:sz w:val="19"/>
                <w:szCs w:val="19"/>
              </w:rPr>
              <w:t xml:space="preserve"> — reasoning at Annexure B</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Whether on an arm’s length basis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r>
              <w:rPr>
                <w:rFonts w:ascii="Calibri" w:cs="Calibri" w:eastAsia="Calibri" w:hAnsi="Calibri"/>
                <w:sz w:val="19"/>
                <w:szCs w:val="19"/>
              </w:rPr>
              <w:t xml:space="preserve"> — reasoning at Annexure B</w:t>
            </w:r>
          </w:p>
        </w:tc>
      </w:tr>
    </w:tbl>
    <w:p>
      <w:pPr>
        <w:spacing w:after="140"/>
      </w:pP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having considered the matters placed before it, is satisfied that the transaction is </w:t>
      </w:r>
      <w:r>
        <w:rPr>
          <w:rFonts w:ascii="Calibri" w:cs="Calibri" w:eastAsia="Calibri" w:hAnsi="Calibri"/>
          <w:b/>
          <w:bCs/>
          <w:sz w:val="21"/>
          <w:szCs w:val="21"/>
        </w:rPr>
        <w:t xml:space="preserve">[in the ordinary course of the business of the Company and on an arm’s length basis / not in the ordinary course of business, and accordingly the approval of the members by ordinary resolution be obtained before the transaction is entered into]</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particulars of the transaction be entered in the register of contracts or arrangements in which directors are interested, maintained by the Company, and that the register be placed before the next meeting of the Board and signed by the directors present.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transaction be disclosed in the Board’s report for the financial year in which it is entered into, together with the justification for entering into it, </w:t>
      </w:r>
      <w:r>
        <w:rPr>
          <w:rFonts w:ascii="Calibri" w:cs="Calibri" w:eastAsia="Calibri" w:hAnsi="Calibri"/>
          <w:b/>
          <w:bCs/>
          <w:sz w:val="21"/>
          <w:szCs w:val="21"/>
        </w:rPr>
        <w:t xml:space="preserve">[and in the notes to the financial statements in accordance with the applicable accounting standard]</w:t>
      </w:r>
      <w:r>
        <w:rPr>
          <w:rFonts w:ascii="Calibri" w:cs="Calibri" w:eastAsia="Calibri" w:hAnsi="Calibri"/>
          <w:sz w:val="21"/>
          <w:szCs w:val="21"/>
        </w:rPr>
        <w:t xml:space="preserve">.</w:t>
      </w:r>
    </w:p>
    <w:p>
      <w:pPr>
        <w:spacing w:after="20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[Director]</w:t>
      </w:r>
      <w:r>
        <w:rPr>
          <w:rFonts w:ascii="Calibri" w:cs="Calibri" w:eastAsia="Calibri" w:hAnsi="Calibri"/>
          <w:sz w:val="21"/>
          <w:szCs w:val="21"/>
        </w:rPr>
        <w:t xml:space="preserve">, and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[Chief Financial Officer]</w:t>
      </w:r>
      <w:r>
        <w:rPr>
          <w:rFonts w:ascii="Calibri" w:cs="Calibri" w:eastAsia="Calibri" w:hAnsi="Calibri"/>
          <w:sz w:val="21"/>
          <w:szCs w:val="21"/>
        </w:rPr>
        <w:t xml:space="preserve">, being persons not interested in the transaction, be and are hereby severally authorised to negotiate any further terms, to execute the agreement and all related documents for and on behalf of the Company, to monitor performance against the agreed terms, and to report to the Board any material variation, and to do all such acts as may be necessary to give effect to this resolution.</w:t>
      </w:r>
      <w:r>
        <w:rPr>
          <w:rFonts w:ascii="Calibri" w:cs="Calibri" w:eastAsia="Calibri" w:hAnsi="Calibri"/>
          <w:b/>
          <w:bCs/>
          <w:sz w:val="21"/>
          <w:szCs w:val="21"/>
        </w:rPr>
        <w:t xml:space="preserve">"</w:t>
      </w:r>
    </w:p>
    <w:p>
      <w:pPr>
        <w:spacing w:after="220" w:before="0" w:line="276"/>
        <w:jc w:val="both"/>
      </w:pPr>
      <w:r>
        <w:rPr>
          <w:rFonts w:ascii="Calibri" w:cs="Calibri" w:eastAsia="Calibri" w:hAnsi="Calibri"/>
          <w:b/>
          <w:bCs/>
          <w:sz w:val="21"/>
          <w:szCs w:val="21"/>
        </w:rPr>
        <w:t xml:space="preserve">Certified to be a true copy of the resolution passed at the meeting referred to above, which remains in force and has not been amended or rescinded.</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 / Company Secretary]</w:t>
            </w:r>
          </w:p>
          <w:p>
            <w:pPr>
              <w:spacing w:after="90" w:line="264"/>
            </w:pPr>
            <w:r>
              <w:rPr>
                <w:rFonts w:ascii="Calibri" w:cs="Calibri" w:eastAsia="Calibri" w:hAnsi="Calibri"/>
                <w:sz w:val="21"/>
                <w:szCs w:val="21"/>
              </w:rPr>
              <w:t xml:space="preserve">DIN / 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Threshold Computation</w:t>
      </w:r>
    </w:p>
    <w:p>
      <w:pPr>
        <w:spacing w:after="140" w:before="0" w:line="276"/>
        <w:jc w:val="both"/>
      </w:pPr>
      <w:r>
        <w:rPr>
          <w:rFonts w:ascii="Calibri" w:cs="Calibri" w:eastAsia="Calibri" w:hAnsi="Calibri"/>
          <w:i/>
          <w:iCs/>
          <w:sz w:val="21"/>
          <w:szCs w:val="21"/>
        </w:rPr>
        <w:t xml:space="preserve">Complete before the meeting. This is the working that determines whether shareholder approval is required.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240"/>
        <w:gridCol w:w="1927"/>
        <w:gridCol w:w="3471"/>
      </w:tblGrid>
      <w:tr>
        <w:trPr>
          <w:tblHeader/>
        </w:trPr>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Particular</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Source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Turnover of the Company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financial statements for the financial year ended </w:t>
            </w:r>
            <w:r>
              <w:rPr>
                <w:rFonts w:ascii="Calibri" w:cs="Calibri" w:eastAsia="Calibri" w:hAnsi="Calibri"/>
                <w:b/>
                <w:bCs/>
                <w:sz w:val="19"/>
                <w:szCs w:val="19"/>
              </w:rPr>
              <w:t xml:space="preserve">[DATE]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Net worth of the Company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Audited financial statements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Value of this transaction</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Draft agreement</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Aggregate value of transactions of the same nature with this related party in the current financial year, including this one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contracts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Aggregate value of all transactions with this related party in the current financial year</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contracts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Applicable threshold for a transaction of this nature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 PERCENTAGE]</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the basis — the limit prescribed for this category of transaction]</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Does the transaction exceed the threshold?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471"/>
            <w:tcMar>
              <w:top w:type="dxa" w:w="70"/>
              <w:left w:type="dxa" w:w="100"/>
              <w:bottom w:type="dxa" w:w="70"/>
              <w:right w:type="dxa" w:w="100"/>
            </w:tcMar>
            <w:vAlign w:val="center"/>
          </w:tcPr>
          <w:p>
            <w:pPr>
              <w:spacing w:after="0" w:line="240"/>
              <w:jc w:val="left"/>
            </w:pP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shareholder approval by ordinary resolution required?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[If yes, date of general meeting and date of the notice]</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the Company required to constitute an audit committee?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[YES / NO]</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r>
      <w:tr>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If yes, date of audit committee approval</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[DATE]</w:t>
            </w:r>
          </w:p>
        </w:tc>
        <w:tc>
          <w:tcPr>
            <w:tcW w:type="dxa" w:w="3471"/>
            <w:tcMar>
              <w:top w:type="dxa" w:w="70"/>
              <w:left w:type="dxa" w:w="100"/>
              <w:bottom w:type="dxa" w:w="70"/>
              <w:right w:type="dxa" w:w="100"/>
            </w:tcMar>
            <w:vAlign w:val="center"/>
          </w:tcPr>
          <w:p>
            <w:pPr>
              <w:spacing w:after="0" w:line="240"/>
              <w:jc w:val="left"/>
            </w:pPr>
          </w:p>
        </w:tc>
      </w:tr>
    </w:tbl>
    <w:p>
      <w:pPr>
        <w:spacing w:after="18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Arm’s Length and Ordinary Course Justification</w:t>
      </w:r>
    </w:p>
    <w:p>
      <w:pPr>
        <w:spacing w:after="140" w:before="0" w:line="276"/>
        <w:jc w:val="both"/>
      </w:pPr>
      <w:r>
        <w:rPr>
          <w:rFonts w:ascii="Calibri" w:cs="Calibri" w:eastAsia="Calibri" w:hAnsi="Calibri"/>
          <w:i/>
          <w:iCs/>
          <w:sz w:val="21"/>
          <w:szCs w:val="21"/>
        </w:rPr>
        <w:t xml:space="preserve">Do not write "the transaction is at arm’s length". Show the comparison. This annexure is what the auditor, the tax officer and the next investor will read.</w:t>
      </w:r>
    </w:p>
    <w:p>
      <w:pPr>
        <w:keepNext/>
        <w:spacing w:after="100" w:before="200"/>
        <w:outlineLvl w:val="1"/>
      </w:pPr>
      <w:r>
        <w:rPr>
          <w:rFonts w:ascii="Calibri" w:cs="Calibri" w:eastAsia="Calibri" w:hAnsi="Calibri"/>
          <w:b/>
          <w:bCs/>
          <w:color w:val="14161B"/>
          <w:sz w:val="21"/>
          <w:szCs w:val="21"/>
        </w:rPr>
        <w:t xml:space="preserve">Ordinary course of business</w:t>
      </w:r>
    </w:p>
    <w:p>
      <w:pPr>
        <w:spacing w:after="160" w:before="0" w:line="276"/>
        <w:jc w:val="both"/>
      </w:pPr>
      <w:r>
        <w:rPr>
          <w:rFonts w:ascii="Calibri" w:cs="Calibri" w:eastAsia="Calibri" w:hAnsi="Calibri"/>
          <w:b/>
          <w:bCs/>
          <w:sz w:val="21"/>
          <w:szCs w:val="21"/>
        </w:rPr>
        <w:t xml:space="preserve">[STATE why the transaction falls within the ordinary course of the Company’s business — by reference to the objects clause, the nature of the Company’s trade, the frequency with which it enters into transactions of this kind with unrelated parties, and whether it has done so before. If it does not fall within the ordinary course, say so plainly and obtain shareholder approval.]</w:t>
      </w:r>
    </w:p>
    <w:p>
      <w:pPr>
        <w:keepNext/>
        <w:spacing w:after="100" w:before="200"/>
        <w:outlineLvl w:val="1"/>
      </w:pPr>
      <w:r>
        <w:rPr>
          <w:rFonts w:ascii="Calibri" w:cs="Calibri" w:eastAsia="Calibri" w:hAnsi="Calibri"/>
          <w:b/>
          <w:bCs/>
          <w:color w:val="14161B"/>
          <w:sz w:val="21"/>
          <w:szCs w:val="21"/>
        </w:rPr>
        <w:t xml:space="preserve">Arm’s length comparison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120"/>
        <w:gridCol w:w="1734"/>
        <w:gridCol w:w="1734"/>
        <w:gridCol w:w="193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Proposed with the related party</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Unrelated quote 1</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Unrelated quote 2</w:t>
            </w:r>
          </w:p>
        </w:tc>
        <w:tc>
          <w:tcPr>
            <w:tcW w:type="dxa" w:w="193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Prevailing market 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or counterparty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[RELATED PARTY]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Price or rate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[RANGE]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terms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[DAYS]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[RANGE]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Delivery or service level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 and termination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Security or advance required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Warranty and liability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Source and date of the comparison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[QUOTE DATED]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[QUOTE DATED]</w:t>
            </w:r>
          </w:p>
        </w:tc>
        <w:tc>
          <w:tcPr>
            <w:tcW w:type="dxa" w:w="193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[SOURCE, DATE]</w:t>
            </w:r>
          </w:p>
        </w:tc>
      </w:tr>
    </w:tbl>
    <w:p>
      <w:pPr>
        <w:spacing w:after="140"/>
      </w:pPr>
    </w:p>
    <w:p>
      <w:pPr>
        <w:spacing w:after="140" w:before="0" w:line="276"/>
        <w:jc w:val="both"/>
      </w:pPr>
      <w:r>
        <w:rPr>
          <w:rFonts w:ascii="Calibri" w:cs="Calibri" w:eastAsia="Calibri" w:hAnsi="Calibri"/>
          <w:b/>
          <w:bCs/>
          <w:sz w:val="21"/>
          <w:szCs w:val="21"/>
        </w:rPr>
        <w:t xml:space="preserve">Conclusion.</w:t>
      </w:r>
      <w:r>
        <w:rPr>
          <w:rFonts w:ascii="Calibri" w:cs="Calibri" w:eastAsia="Calibri" w:hAnsi="Calibri"/>
          <w:sz w:val="21"/>
          <w:szCs w:val="21"/>
        </w:rPr>
        <w:t xml:space="preserve"> </w:t>
      </w:r>
      <w:r>
        <w:rPr>
          <w:rFonts w:ascii="Calibri" w:cs="Calibri" w:eastAsia="Calibri" w:hAnsi="Calibri"/>
          <w:b/>
          <w:bCs/>
          <w:sz w:val="21"/>
          <w:szCs w:val="21"/>
        </w:rPr>
        <w:t xml:space="preserve">[STATE the Board’s conclusion and the reason for it. Where the related party terms are less favourable to the Company than an unrelated quote, either explain why the transaction is nonetheless in the Company’s interest — for example, capacity, reliability or a strategic reason — or do not proceed on those terms. Where they are more favourable to the Company, say so; that is a good fact.]</w:t>
      </w:r>
    </w:p>
    <w:p>
      <w:pPr>
        <w:spacing w:after="140" w:before="0" w:line="276"/>
        <w:jc w:val="both"/>
      </w:pPr>
      <w:r>
        <w:rPr>
          <w:rFonts w:ascii="Calibri" w:cs="Calibri" w:eastAsia="Calibri" w:hAnsi="Calibri"/>
          <w:b/>
          <w:bCs/>
          <w:sz w:val="21"/>
          <w:szCs w:val="21"/>
        </w:rPr>
        <w:t xml:space="preserve">Documents relied on:</w:t>
      </w:r>
      <w:r>
        <w:rPr>
          <w:rFonts w:ascii="Calibri" w:cs="Calibri" w:eastAsia="Calibri" w:hAnsi="Calibri"/>
          <w:sz w:val="21"/>
          <w:szCs w:val="21"/>
        </w:rPr>
        <w:t xml:space="preserve"> </w:t>
      </w:r>
      <w:r>
        <w:rPr>
          <w:rFonts w:ascii="Calibri" w:cs="Calibri" w:eastAsia="Calibri" w:hAnsi="Calibri"/>
          <w:b/>
          <w:bCs/>
          <w:sz w:val="21"/>
          <w:szCs w:val="21"/>
        </w:rPr>
        <w:t xml:space="preserve">[LIST the quotations, price lists, market reports, benchmarking studies and correspondence, with dates, and retain copies with the minutes.]</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two questions that decide everything</w:t>
      </w:r>
    </w:p>
    <w:p>
      <w:pPr>
        <w:spacing w:after="60" w:line="264"/>
        <w:jc w:val="both"/>
      </w:pPr>
      <w:r>
        <w:rPr>
          <w:rFonts w:ascii="Calibri" w:cs="Calibri" w:eastAsia="Calibri" w:hAnsi="Calibri"/>
          <w:sz w:val="19"/>
          <w:szCs w:val="19"/>
        </w:rPr>
        <w:t xml:space="preserve">A related party transaction that is both in the ordinary course of business and on an arm’s length basis does not require the approval that other related party transactions require. Everything else follows from that. But the exemption is not self-declaring — it depends on the Board actually forming and recording a view, supported by evidence. Annexure B is that evidence, and a Board that writes "the transaction is at arm’s length" with nothing behind it has not met the standard.</w:t>
      </w:r>
    </w:p>
    <w:p>
      <w:pPr>
        <w:keepNext/>
        <w:spacing w:after="40" w:before="140"/>
      </w:pPr>
      <w:r>
        <w:rPr>
          <w:rFonts w:ascii="Calibri" w:cs="Calibri" w:eastAsia="Calibri" w:hAnsi="Calibri"/>
          <w:b/>
          <w:bCs/>
          <w:color w:val="14161B"/>
          <w:sz w:val="20"/>
          <w:szCs w:val="20"/>
        </w:rPr>
        <w:t xml:space="preserve">Get the relationship right before anything else</w:t>
      </w:r>
    </w:p>
    <w:p>
      <w:pPr>
        <w:spacing w:after="60" w:line="264"/>
        <w:jc w:val="both"/>
      </w:pPr>
      <w:r>
        <w:rPr>
          <w:rFonts w:ascii="Calibri" w:cs="Calibri" w:eastAsia="Calibri" w:hAnsi="Calibri"/>
          <w:sz w:val="19"/>
          <w:szCs w:val="19"/>
        </w:rPr>
        <w:t xml:space="preserve">The definition of a related party is wider than most people assume and catches directors, key managerial personnel, their relatives, firms in which a director or relative is a partner, private companies in which a director is a director or member, and bodies corporate whose board acts on a director’s instructions, among others. Establish the precise basis of the relationship and record it — not merely that the counterparty "is related".</w:t>
      </w:r>
    </w:p>
    <w:p>
      <w:pPr>
        <w:keepNext/>
        <w:spacing w:after="40" w:before="140"/>
      </w:pPr>
      <w:r>
        <w:rPr>
          <w:rFonts w:ascii="Calibri" w:cs="Calibri" w:eastAsia="Calibri" w:hAnsi="Calibri"/>
          <w:b/>
          <w:bCs/>
          <w:color w:val="14161B"/>
          <w:sz w:val="20"/>
          <w:szCs w:val="20"/>
        </w:rPr>
        <w:t xml:space="preserve">Aggregate, do not look at the transaction alone</w:t>
      </w:r>
    </w:p>
    <w:p>
      <w:pPr>
        <w:spacing w:after="60" w:line="264"/>
        <w:jc w:val="both"/>
      </w:pPr>
      <w:r>
        <w:rPr>
          <w:rFonts w:ascii="Calibri" w:cs="Calibri" w:eastAsia="Calibri" w:hAnsi="Calibri"/>
          <w:sz w:val="19"/>
          <w:szCs w:val="19"/>
        </w:rPr>
        <w:t xml:space="preserve">Thresholds are tested by reference to the aggregate value of transactions of the same nature with the same related party in a financial year, not transaction by transaction. A series of small purchases from a director’s company can cross the threshold without any single purchase coming near it. Annexure A asks for both the individual and the aggregate figures for that reason, and the register of contracts is where the aggregate comes from.</w:t>
      </w:r>
    </w:p>
    <w:p>
      <w:pPr>
        <w:keepNext/>
        <w:spacing w:after="40" w:before="140"/>
      </w:pPr>
      <w:r>
        <w:rPr>
          <w:rFonts w:ascii="Calibri" w:cs="Calibri" w:eastAsia="Calibri" w:hAnsi="Calibri"/>
          <w:b/>
          <w:bCs/>
          <w:color w:val="14161B"/>
          <w:sz w:val="20"/>
          <w:szCs w:val="20"/>
        </w:rPr>
        <w:t xml:space="preserve">The interested director</w:t>
      </w:r>
    </w:p>
    <w:p>
      <w:pPr>
        <w:spacing w:after="60" w:line="264"/>
        <w:jc w:val="both"/>
      </w:pPr>
      <w:r>
        <w:rPr>
          <w:rFonts w:ascii="Calibri" w:cs="Calibri" w:eastAsia="Calibri" w:hAnsi="Calibri"/>
          <w:sz w:val="19"/>
          <w:szCs w:val="19"/>
        </w:rPr>
        <w:t xml:space="preserve">An interested director must disclose the nature and extent of the interest. The general position is that an interested director does not participate in the discussion or vote on the matter, though a relaxation is available to certain classes of company subject to conditions. Whichever applies, record what actually happened at the meeting — whether the director withdrew, remained but abstained, or participated — rather than leaving the minutes silent.</w:t>
      </w:r>
    </w:p>
    <w:p>
      <w:pPr>
        <w:keepNext/>
        <w:spacing w:after="40" w:before="140"/>
      </w:pPr>
      <w:r>
        <w:rPr>
          <w:rFonts w:ascii="Calibri" w:cs="Calibri" w:eastAsia="Calibri" w:hAnsi="Calibri"/>
          <w:b/>
          <w:bCs/>
          <w:color w:val="14161B"/>
          <w:sz w:val="20"/>
          <w:szCs w:val="20"/>
        </w:rPr>
        <w:t xml:space="preserve">Annual disclosure of interest</w:t>
      </w:r>
    </w:p>
    <w:p>
      <w:pPr>
        <w:spacing w:after="60" w:line="264"/>
        <w:jc w:val="both"/>
      </w:pPr>
      <w:r>
        <w:rPr>
          <w:rFonts w:ascii="Calibri" w:cs="Calibri" w:eastAsia="Calibri" w:hAnsi="Calibri"/>
          <w:sz w:val="19"/>
          <w:szCs w:val="19"/>
        </w:rPr>
        <w:t xml:space="preserve">Every director must disclose interests in the prescribed form at the first Board meeting of each financial year and whenever there is a change. That standing disclosure is what makes it possible to identify related party transactions before they are entered into, rather than at audit. If the Company does not collect it annually, it will find related party transactions retrospectively, which is the expensive way.</w:t>
      </w:r>
    </w:p>
    <w:p>
      <w:pPr>
        <w:keepNext/>
        <w:spacing w:after="40" w:before="140"/>
      </w:pPr>
      <w:r>
        <w:rPr>
          <w:rFonts w:ascii="Calibri" w:cs="Calibri" w:eastAsia="Calibri" w:hAnsi="Calibri"/>
          <w:b/>
          <w:bCs/>
          <w:color w:val="14161B"/>
          <w:sz w:val="20"/>
          <w:szCs w:val="20"/>
        </w:rPr>
        <w:t xml:space="preserve">Register of contracts</w:t>
      </w:r>
    </w:p>
    <w:p>
      <w:pPr>
        <w:spacing w:after="60" w:line="264"/>
        <w:jc w:val="both"/>
      </w:pPr>
      <w:r>
        <w:rPr>
          <w:rFonts w:ascii="Calibri" w:cs="Calibri" w:eastAsia="Calibri" w:hAnsi="Calibri"/>
          <w:sz w:val="19"/>
          <w:szCs w:val="19"/>
        </w:rPr>
        <w:t xml:space="preserve">The particulars must be entered in the register of contracts or arrangements in which directors are interested, the register must be placed before the next Board meeting and signed by the directors present, and it must be kept at the registered office. It is a permanent record and diligence will ask for it. Update it at the time of the transaction, not at year end.</w:t>
      </w:r>
    </w:p>
    <w:p>
      <w:pPr>
        <w:keepNext/>
        <w:spacing w:after="40" w:before="140"/>
      </w:pPr>
      <w:r>
        <w:rPr>
          <w:rFonts w:ascii="Calibri" w:cs="Calibri" w:eastAsia="Calibri" w:hAnsi="Calibri"/>
          <w:b/>
          <w:bCs/>
          <w:color w:val="14161B"/>
          <w:sz w:val="20"/>
          <w:szCs w:val="20"/>
        </w:rPr>
        <w:t xml:space="preserve">Board’s report disclosure</w:t>
      </w:r>
    </w:p>
    <w:p>
      <w:pPr>
        <w:spacing w:after="60" w:line="264"/>
        <w:jc w:val="both"/>
      </w:pPr>
      <w:r>
        <w:rPr>
          <w:rFonts w:ascii="Calibri" w:cs="Calibri" w:eastAsia="Calibri" w:hAnsi="Calibri"/>
          <w:sz w:val="19"/>
          <w:szCs w:val="19"/>
        </w:rPr>
        <w:t xml:space="preserve">Related party transactions not at arm’s length or not in the ordinary course must be disclosed in the Board’s report with a justification. The justification written in the Board’s report should match the reasoning recorded in Annexure B. Where the two differ, the discrepancy is visible on the public record.</w:t>
      </w:r>
    </w:p>
    <w:p>
      <w:pPr>
        <w:keepNext/>
        <w:spacing w:after="40" w:before="140"/>
      </w:pPr>
      <w:r>
        <w:rPr>
          <w:rFonts w:ascii="Calibri" w:cs="Calibri" w:eastAsia="Calibri" w:hAnsi="Calibri"/>
          <w:b/>
          <w:bCs/>
          <w:color w:val="14161B"/>
          <w:sz w:val="20"/>
          <w:szCs w:val="20"/>
        </w:rPr>
        <w:t xml:space="preserve">Transfer pricing is a separate regime</w:t>
      </w:r>
    </w:p>
    <w:p>
      <w:pPr>
        <w:spacing w:after="60" w:line="264"/>
        <w:jc w:val="both"/>
      </w:pPr>
      <w:r>
        <w:rPr>
          <w:rFonts w:ascii="Calibri" w:cs="Calibri" w:eastAsia="Calibri" w:hAnsi="Calibri"/>
          <w:sz w:val="19"/>
          <w:szCs w:val="19"/>
        </w:rPr>
        <w:t xml:space="preserve">Approval under company law does not answer the tax question. Transactions with associated enterprises may attract transfer pricing scrutiny under the specified domestic transaction and international transaction provisions, each with its own documentation and reporting requirements and its own definition of arm’s length. The company law benchmarking in Annexure B is a useful starting point but is not a transfer pricing study.</w:t>
      </w:r>
    </w:p>
    <w:p>
      <w:pPr>
        <w:keepNext/>
        <w:spacing w:after="40" w:before="140"/>
      </w:pPr>
      <w:r>
        <w:rPr>
          <w:rFonts w:ascii="Calibri" w:cs="Calibri" w:eastAsia="Calibri" w:hAnsi="Calibri"/>
          <w:b/>
          <w:bCs/>
          <w:color w:val="14161B"/>
          <w:sz w:val="20"/>
          <w:szCs w:val="20"/>
        </w:rPr>
        <w:t xml:space="preserve">Goods and services tax on related party supplies</w:t>
      </w:r>
    </w:p>
    <w:p>
      <w:pPr>
        <w:spacing w:after="60" w:line="264"/>
        <w:jc w:val="both"/>
      </w:pPr>
      <w:r>
        <w:rPr>
          <w:rFonts w:ascii="Calibri" w:cs="Calibri" w:eastAsia="Calibri" w:hAnsi="Calibri"/>
          <w:sz w:val="19"/>
          <w:szCs w:val="19"/>
        </w:rPr>
        <w:t xml:space="preserve">Supplies between related persons may be treated as taxable even without consideration, and the valuation rules for related party supplies differ from the transaction value used for third parties. A management fee, a shared service, or the free use of premises between group companies frequently has a tax consequence that the company law analysis does not surface. Raise it with the tax adviser before the transaction is entered into.</w:t>
      </w:r>
    </w:p>
    <w:p>
      <w:pPr>
        <w:keepNext/>
        <w:spacing w:after="40" w:before="140"/>
      </w:pPr>
      <w:r>
        <w:rPr>
          <w:rFonts w:ascii="Calibri" w:cs="Calibri" w:eastAsia="Calibri" w:hAnsi="Calibri"/>
          <w:b/>
          <w:bCs/>
          <w:color w:val="14161B"/>
          <w:sz w:val="20"/>
          <w:szCs w:val="20"/>
        </w:rPr>
        <w:t xml:space="preserve">Loans to directors</w:t>
      </w:r>
    </w:p>
    <w:p>
      <w:pPr>
        <w:spacing w:after="60" w:line="264"/>
        <w:jc w:val="both"/>
      </w:pPr>
      <w:r>
        <w:rPr>
          <w:rFonts w:ascii="Calibri" w:cs="Calibri" w:eastAsia="Calibri" w:hAnsi="Calibri"/>
          <w:sz w:val="19"/>
          <w:szCs w:val="19"/>
        </w:rPr>
        <w:t xml:space="preserve">A loan to a director, or to a person in whom a director is interested, is subject to a separate and stricter prohibition and is not simply a related party transaction. Do not use this resolution for a loan to a director. Take advice first — the exemptions are narrow and conditional.</w:t>
      </w:r>
    </w:p>
    <w:p>
      <w:pPr>
        <w:keepNext/>
        <w:spacing w:after="40" w:before="140"/>
      </w:pPr>
      <w:r>
        <w:rPr>
          <w:rFonts w:ascii="Calibri" w:cs="Calibri" w:eastAsia="Calibri" w:hAnsi="Calibri"/>
          <w:b/>
          <w:bCs/>
          <w:color w:val="14161B"/>
          <w:sz w:val="20"/>
          <w:szCs w:val="20"/>
        </w:rPr>
        <w:t xml:space="preserve">Ratification is not a substitute for approval</w:t>
      </w:r>
    </w:p>
    <w:p>
      <w:pPr>
        <w:spacing w:after="60" w:line="264"/>
        <w:jc w:val="both"/>
      </w:pPr>
      <w:r>
        <w:rPr>
          <w:rFonts w:ascii="Calibri" w:cs="Calibri" w:eastAsia="Calibri" w:hAnsi="Calibri"/>
          <w:sz w:val="19"/>
          <w:szCs w:val="19"/>
        </w:rPr>
        <w:t xml:space="preserve">Where a related party transaction requiring approval is entered into without it, it is voidable at the option of the Board, and the director concerned may be required to indemnify the Company for any loss. Retrospective ratification is possible within a limited window but is not a planned strategy. Approve before entering into the transaction.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Thresholds, the categories of transaction caught, the audit committee requirement and the applicable exemptions all change — confirm each with a company secretary before the meeting.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2026-08-21T12:53:53.900Z</dcterms:created>
  <dcterms:modified xsi:type="dcterms:W3CDTF">2026-08-21T12:53:53.900Z</dcterms:modified>
</cp:coreProperties>
</file>

<file path=docProps/custom.xml><?xml version="1.0" encoding="utf-8"?>
<Properties xmlns="http://schemas.openxmlformats.org/officeDocument/2006/custom-properties" xmlns:vt="http://schemas.openxmlformats.org/officeDocument/2006/docPropsVTypes"/>
</file>