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CERTIFIED TRUE COPY OF A BOARD RESOLUTION</w:t>
      </w:r>
    </w:p>
    <w:p>
      <w:pPr>
        <w:spacing w:after="260"/>
        <w:jc w:val="center"/>
      </w:pPr>
      <w:r>
        <w:rPr>
          <w:rFonts w:ascii="Calibri" w:cs="Calibri" w:eastAsia="Calibri" w:hAnsi="Calibri"/>
          <w:i/>
          <w:iCs/>
          <w:color w:val="6E7480"/>
          <w:sz w:val="19"/>
          <w:szCs w:val="19"/>
        </w:rPr>
        <w:t xml:space="preserve">Borrowing and creation of security</w:t>
      </w:r>
    </w:p>
    <w:p>
      <w:pPr>
        <w:spacing w:after="180" w:before="0" w:line="276"/>
        <w:jc w:val="both"/>
      </w:pPr>
      <w:r>
        <w:rPr>
          <w:rFonts w:ascii="Calibri" w:cs="Calibri" w:eastAsia="Calibri" w:hAnsi="Calibri"/>
          <w:i/>
          <w:iCs/>
          <w:color w:val="6E7480"/>
          <w:sz w:val="21"/>
          <w:szCs w:val="21"/>
        </w:rPr>
        <w:t xml:space="preserve">Before passing this resolution, check two things: whether the borrowing takes the Company past the threshold at which shareholder approval by special resolution is required, and whether that threshold provision applies to the Company at all. The exemption available to private companies is the point most often missed in both directions.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 of the Board of Directors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time and place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w:t>
            </w:r>
            <w:r>
              <w:rPr>
                <w:rFonts w:ascii="Calibri" w:cs="Calibri" w:eastAsia="Calibri" w:hAnsi="Calibri"/>
                <w:b/>
                <w:bCs/>
                <w:sz w:val="19"/>
                <w:szCs w:val="19"/>
              </w:rPr>
              <w:t xml:space="preserve">[TIME]</w:t>
            </w:r>
            <w:r>
              <w:rPr>
                <w:rFonts w:ascii="Calibri" w:cs="Calibri" w:eastAsia="Calibri" w:hAnsi="Calibri"/>
                <w:sz w:val="19"/>
                <w:szCs w:val="19"/>
              </w:rPr>
              <w:t xml:space="preserve">, at </w:t>
            </w:r>
            <w:r>
              <w:rPr>
                <w:rFonts w:ascii="Calibri" w:cs="Calibri" w:eastAsia="Calibri" w:hAnsi="Calibri"/>
                <w:b/>
                <w:bCs/>
                <w:sz w:val="19"/>
                <w:szCs w:val="19"/>
              </w:rPr>
              <w:t xml:space="preserve">[PLACE]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present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DIN]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Chairperson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Shareholder approval</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required — within the Board’s powers / Special resolution passed on ______ / To be obtained before drawdown]</w:t>
            </w:r>
          </w:p>
        </w:tc>
      </w:tr>
    </w:tbl>
    <w:p>
      <w:pPr>
        <w:spacing w:after="200"/>
      </w:pPr>
    </w:p>
    <w:p>
      <w:pPr>
        <w:spacing w:after="160" w:before="0" w:line="276"/>
        <w:jc w:val="both"/>
      </w:pPr>
      <w:r>
        <w:rPr>
          <w:rFonts w:ascii="Calibri" w:cs="Calibri" w:eastAsia="Calibri" w:hAnsi="Calibri"/>
          <w:sz w:val="21"/>
          <w:szCs w:val="21"/>
        </w:rPr>
        <w:t xml:space="preserve">The Chairperson placed before the Board the sanction letter dated </w:t>
      </w:r>
      <w:r>
        <w:rPr>
          <w:rFonts w:ascii="Calibri" w:cs="Calibri" w:eastAsia="Calibri" w:hAnsi="Calibri"/>
          <w:b/>
          <w:bCs/>
          <w:sz w:val="21"/>
          <w:szCs w:val="21"/>
        </w:rPr>
        <w:t xml:space="preserve">[DATE]</w:t>
      </w:r>
      <w:r>
        <w:rPr>
          <w:rFonts w:ascii="Calibri" w:cs="Calibri" w:eastAsia="Calibri" w:hAnsi="Calibri"/>
          <w:sz w:val="21"/>
          <w:szCs w:val="21"/>
        </w:rPr>
        <w:t xml:space="preserve"> issued by </w:t>
      </w:r>
      <w:r>
        <w:rPr>
          <w:rFonts w:ascii="Calibri" w:cs="Calibri" w:eastAsia="Calibri" w:hAnsi="Calibri"/>
          <w:b/>
          <w:bCs/>
          <w:sz w:val="21"/>
          <w:szCs w:val="21"/>
        </w:rPr>
        <w:t xml:space="preserve">[LENDER NAME]</w:t>
      </w:r>
      <w:r>
        <w:rPr>
          <w:rFonts w:ascii="Calibri" w:cs="Calibri" w:eastAsia="Calibri" w:hAnsi="Calibri"/>
          <w:sz w:val="21"/>
          <w:szCs w:val="21"/>
        </w:rPr>
        <w:t xml:space="preserve"> (the "</w:t>
      </w:r>
      <w:r>
        <w:rPr>
          <w:rFonts w:ascii="Calibri" w:cs="Calibri" w:eastAsia="Calibri" w:hAnsi="Calibri"/>
          <w:b/>
          <w:bCs/>
          <w:sz w:val="21"/>
          <w:szCs w:val="21"/>
        </w:rPr>
        <w:t xml:space="preserve">Lender</w:t>
      </w:r>
      <w:r>
        <w:rPr>
          <w:rFonts w:ascii="Calibri" w:cs="Calibri" w:eastAsia="Calibri" w:hAnsi="Calibri"/>
          <w:sz w:val="21"/>
          <w:szCs w:val="21"/>
        </w:rPr>
        <w:t xml:space="preserve">") and the draft facility documents, and explained the purpose of the borrowing, the security proposed, and the effect of the borrowing on the Company’s existing indebtedness. The Chairperson confirmed the position set out in Annexure A as to the aggregate indebtedness of the Company and the applicable approval threshold. After discussion, the Board passed the following resolution:</w:t>
      </w:r>
    </w:p>
    <w:p>
      <w:pPr>
        <w:spacing w:after="14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the Company do borrow from </w:t>
      </w:r>
      <w:r>
        <w:rPr>
          <w:rFonts w:ascii="Calibri" w:cs="Calibri" w:eastAsia="Calibri" w:hAnsi="Calibri"/>
          <w:b/>
          <w:bCs/>
          <w:sz w:val="21"/>
          <w:szCs w:val="21"/>
        </w:rPr>
        <w:t xml:space="preserve">[LENDER NAME]</w:t>
      </w:r>
      <w:r>
        <w:rPr>
          <w:rFonts w:ascii="Calibri" w:cs="Calibri" w:eastAsia="Calibri" w:hAnsi="Calibri"/>
          <w:sz w:val="21"/>
          <w:szCs w:val="21"/>
        </w:rPr>
        <w:t xml:space="preserve"> a sum not exceeding ₹ </w:t>
      </w:r>
      <w:r>
        <w:rPr>
          <w:rFonts w:ascii="Calibri" w:cs="Calibri" w:eastAsia="Calibri" w:hAnsi="Calibri"/>
          <w:b/>
          <w:bCs/>
          <w:sz w:val="21"/>
          <w:szCs w:val="21"/>
        </w:rPr>
        <w:t xml:space="preserve">[AMOUNT]</w:t>
      </w:r>
      <w:r>
        <w:rPr>
          <w:rFonts w:ascii="Calibri" w:cs="Calibri" w:eastAsia="Calibri" w:hAnsi="Calibri"/>
          <w:sz w:val="21"/>
          <w:szCs w:val="21"/>
        </w:rPr>
        <w:t xml:space="preserve"> (Rupees </w:t>
      </w:r>
      <w:r>
        <w:rPr>
          <w:rFonts w:ascii="Calibri" w:cs="Calibri" w:eastAsia="Calibri" w:hAnsi="Calibri"/>
          <w:b/>
          <w:bCs/>
          <w:sz w:val="21"/>
          <w:szCs w:val="21"/>
        </w:rPr>
        <w:t xml:space="preserve">[IN WORDS]</w:t>
      </w:r>
      <w:r>
        <w:rPr>
          <w:rFonts w:ascii="Calibri" w:cs="Calibri" w:eastAsia="Calibri" w:hAnsi="Calibri"/>
          <w:sz w:val="21"/>
          <w:szCs w:val="21"/>
        </w:rPr>
        <w:t xml:space="preserve"> only) by way of </w:t>
      </w:r>
      <w:r>
        <w:rPr>
          <w:rFonts w:ascii="Calibri" w:cs="Calibri" w:eastAsia="Calibri" w:hAnsi="Calibri"/>
          <w:b/>
          <w:bCs/>
          <w:sz w:val="21"/>
          <w:szCs w:val="21"/>
        </w:rPr>
        <w:t xml:space="preserve">[a term loan / a working capital facility / a cash credit facility / an overdraft facility / non-convertible debentures]</w:t>
      </w:r>
      <w:r>
        <w:rPr>
          <w:rFonts w:ascii="Calibri" w:cs="Calibri" w:eastAsia="Calibri" w:hAnsi="Calibri"/>
          <w:sz w:val="21"/>
          <w:szCs w:val="21"/>
        </w:rPr>
        <w:t xml:space="preserve">, on the terms and conditions set out in the sanction letter dated </w:t>
      </w:r>
      <w:r>
        <w:rPr>
          <w:rFonts w:ascii="Calibri" w:cs="Calibri" w:eastAsia="Calibri" w:hAnsi="Calibri"/>
          <w:b/>
          <w:bCs/>
          <w:sz w:val="21"/>
          <w:szCs w:val="21"/>
        </w:rPr>
        <w:t xml:space="preserve">[DATE]</w:t>
      </w:r>
      <w:r>
        <w:rPr>
          <w:rFonts w:ascii="Calibri" w:cs="Calibri" w:eastAsia="Calibri" w:hAnsi="Calibri"/>
          <w:sz w:val="21"/>
          <w:szCs w:val="21"/>
        </w:rPr>
        <w:t xml:space="preserve">, a copy of which was placed before the Board and initialled by the Chairperson for the purpose of identification, and on such further terms as may be agreed by any of the persons authorised below.</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borrowing be applied towards </w:t>
      </w:r>
      <w:r>
        <w:rPr>
          <w:rFonts w:ascii="Calibri" w:cs="Calibri" w:eastAsia="Calibri" w:hAnsi="Calibri"/>
          <w:b/>
          <w:bCs/>
          <w:sz w:val="21"/>
          <w:szCs w:val="21"/>
        </w:rPr>
        <w:t xml:space="preserve">[PURPOSE — e.g. working capital requirements of the Company / purchase of the equipment described in the sanction letter / refinancing of the facility from ______]</w:t>
      </w:r>
      <w:r>
        <w:rPr>
          <w:rFonts w:ascii="Calibri" w:cs="Calibri" w:eastAsia="Calibri" w:hAnsi="Calibri"/>
          <w:sz w:val="21"/>
          <w:szCs w:val="21"/>
        </w:rPr>
        <w:t xml:space="preserve"> and for no other purpose.</w:t>
      </w:r>
    </w:p>
    <w:p>
      <w:pPr>
        <w:spacing w:after="12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as security for the borrowing and for all interest, costs, charges and other monies payable in respect of it, the Company do create in favour of the Lender: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 first ranking charge by way of hypothecation over the whole of the movable assets of the Company, both present and future, including its plant and machinery, equipment, furniture, stock in trade, book debts, receivables, and intangible assets </w:t>
      </w:r>
      <w:r>
        <w:rPr>
          <w:rFonts w:ascii="Calibri" w:cs="Calibri" w:eastAsia="Calibri" w:hAnsi="Calibri"/>
          <w:i/>
          <w:iCs/>
          <w:sz w:val="21"/>
          <w:szCs w:val="21"/>
        </w:rPr>
        <w:t xml:space="preserve">(delete or narrow to the specific assets charged)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 </w:t>
      </w:r>
      <w:r>
        <w:rPr>
          <w:rFonts w:ascii="Calibri" w:cs="Calibri" w:eastAsia="Calibri" w:hAnsi="Calibri"/>
          <w:b/>
          <w:bCs/>
          <w:sz w:val="21"/>
          <w:szCs w:val="21"/>
        </w:rPr>
        <w:t xml:space="preserve">[first / second]</w:t>
      </w:r>
      <w:r>
        <w:rPr>
          <w:rFonts w:ascii="Calibri" w:cs="Calibri" w:eastAsia="Calibri" w:hAnsi="Calibri"/>
          <w:sz w:val="21"/>
          <w:szCs w:val="21"/>
        </w:rPr>
        <w:t xml:space="preserve"> ranking mortgage over the immovable property described in Annexure B </w:t>
      </w:r>
      <w:r>
        <w:rPr>
          <w:rFonts w:ascii="Calibri" w:cs="Calibri" w:eastAsia="Calibri" w:hAnsi="Calibri"/>
          <w:i/>
          <w:iCs/>
          <w:sz w:val="21"/>
          <w:szCs w:val="21"/>
        </w:rPr>
        <w:t xml:space="preserve">(delete if no immovable property is charged)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 charge over the bank accounts of the Company maintained with </w:t>
      </w:r>
      <w:r>
        <w:rPr>
          <w:rFonts w:ascii="Calibri" w:cs="Calibri" w:eastAsia="Calibri" w:hAnsi="Calibri"/>
          <w:b/>
          <w:bCs/>
          <w:sz w:val="21"/>
          <w:szCs w:val="21"/>
        </w:rPr>
        <w:t xml:space="preserve">[BANK]</w:t>
      </w:r>
      <w:r>
        <w:rPr>
          <w:rFonts w:ascii="Calibri" w:cs="Calibri" w:eastAsia="Calibri" w:hAnsi="Calibri"/>
          <w:sz w:val="21"/>
          <w:szCs w:val="21"/>
        </w:rPr>
        <w:t xml:space="preserve">, and a lien over the fixed deposits described in Annexure B;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such further security as may be required by the Lender and agreed by the persons authorised below,</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in each case on such terms as may be contained in the security documents to be executed.</w:t>
      </w:r>
    </w:p>
    <w:p>
      <w:pPr>
        <w:spacing w:after="120" w:before="14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(DIN </w:t>
      </w:r>
      <w:r>
        <w:rPr>
          <w:rFonts w:ascii="Calibri" w:cs="Calibri" w:eastAsia="Calibri" w:hAnsi="Calibri"/>
          <w:b/>
          <w:bCs/>
          <w:sz w:val="21"/>
          <w:szCs w:val="21"/>
        </w:rPr>
        <w:t xml:space="preserve">[DIN]</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(DIN </w:t>
      </w:r>
      <w:r>
        <w:rPr>
          <w:rFonts w:ascii="Calibri" w:cs="Calibri" w:eastAsia="Calibri" w:hAnsi="Calibri"/>
          <w:b/>
          <w:bCs/>
          <w:sz w:val="21"/>
          <w:szCs w:val="21"/>
        </w:rPr>
        <w:t xml:space="preserve">[DIN]</w:t>
      </w:r>
      <w:r>
        <w:rPr>
          <w:rFonts w:ascii="Calibri" w:cs="Calibri" w:eastAsia="Calibri" w:hAnsi="Calibri"/>
          <w:sz w:val="21"/>
          <w:szCs w:val="21"/>
        </w:rPr>
        <w:t xml:space="preserve">) and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[Chief Financial Officer]</w:t>
      </w:r>
      <w:r>
        <w:rPr>
          <w:rFonts w:ascii="Calibri" w:cs="Calibri" w:eastAsia="Calibri" w:hAnsi="Calibri"/>
          <w:sz w:val="21"/>
          <w:szCs w:val="21"/>
        </w:rPr>
        <w:t xml:space="preserve">, be and are hereby severally authorised to:</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negotiate, finalise, agree, execute and deliver, for and on behalf of the Company, the facility agreement, the loan agreement, the sanction letter acceptance, the deed of hypothecation, the mortgage deed, the deed of guarantee, the demand promissory note, the letter of continuity, the power of attorney, and all other documents, undertakings and declarations required by the Lender;</w:t>
      </w:r>
    </w:p>
    <w:p>
      <w:pPr>
        <w:spacing w:after="100" w:before="40" w:line="276"/>
        <w:ind w:left="1440" w:hanging="720"/>
        <w:jc w:val="both"/>
      </w:pPr>
      <w:r>
        <w:rPr>
          <w:rFonts w:ascii="Calibri" w:cs="Calibri" w:eastAsia="Calibri" w:hAnsi="Calibri"/>
          <w:sz w:val="21"/>
          <w:szCs w:val="21"/>
        </w:rPr>
        <w:t xml:space="preserve">(ii)	</w:t>
      </w:r>
      <w:r>
        <w:rPr>
          <w:rFonts w:ascii="Calibri" w:cs="Calibri" w:eastAsia="Calibri" w:hAnsi="Calibri"/>
          <w:sz w:val="21"/>
          <w:szCs w:val="21"/>
        </w:rPr>
        <w:t xml:space="preserve">affix the common seal of the Company where the articles of association so require;</w:t>
      </w:r>
    </w:p>
    <w:p>
      <w:pPr>
        <w:spacing w:after="100" w:before="40" w:line="276"/>
        <w:ind w:left="1440" w:hanging="720"/>
        <w:jc w:val="both"/>
      </w:pPr>
      <w:r>
        <w:rPr>
          <w:rFonts w:ascii="Calibri" w:cs="Calibri" w:eastAsia="Calibri" w:hAnsi="Calibri"/>
          <w:sz w:val="21"/>
          <w:szCs w:val="21"/>
        </w:rPr>
        <w:t xml:space="preserve">(iii)	</w:t>
      </w:r>
      <w:r>
        <w:rPr>
          <w:rFonts w:ascii="Calibri" w:cs="Calibri" w:eastAsia="Calibri" w:hAnsi="Calibri"/>
          <w:sz w:val="21"/>
          <w:szCs w:val="21"/>
        </w:rPr>
        <w:t xml:space="preserve">agree to any amendment, waiver, restructuring or renewal of the facility, provided that no such amendment shall increase the principal amount beyond the limit set out above without a further resolution of the Board;</w:t>
      </w:r>
    </w:p>
    <w:p>
      <w:pPr>
        <w:spacing w:after="100" w:before="40" w:line="276"/>
        <w:ind w:left="1440" w:hanging="720"/>
        <w:jc w:val="both"/>
      </w:pPr>
      <w:r>
        <w:rPr>
          <w:rFonts w:ascii="Calibri" w:cs="Calibri" w:eastAsia="Calibri" w:hAnsi="Calibri"/>
          <w:sz w:val="21"/>
          <w:szCs w:val="21"/>
        </w:rPr>
        <w:t xml:space="preserve">(iv)	</w:t>
      </w:r>
      <w:r>
        <w:rPr>
          <w:rFonts w:ascii="Calibri" w:cs="Calibri" w:eastAsia="Calibri" w:hAnsi="Calibri"/>
          <w:sz w:val="21"/>
          <w:szCs w:val="21"/>
        </w:rPr>
        <w:t xml:space="preserve">open and operate such accounts with the Lender as may be required for the purposes of the facility, and to give the Lender such mandates and instructions as may be necessary;</w:t>
      </w:r>
    </w:p>
    <w:p>
      <w:pPr>
        <w:spacing w:after="100" w:before="40" w:line="276"/>
        <w:ind w:left="1440" w:hanging="720"/>
        <w:jc w:val="both"/>
      </w:pPr>
      <w:r>
        <w:rPr>
          <w:rFonts w:ascii="Calibri" w:cs="Calibri" w:eastAsia="Calibri" w:hAnsi="Calibri"/>
          <w:sz w:val="21"/>
          <w:szCs w:val="21"/>
        </w:rPr>
        <w:t xml:space="preserve">(v)	</w:t>
      </w:r>
      <w:r>
        <w:rPr>
          <w:rFonts w:ascii="Calibri" w:cs="Calibri" w:eastAsia="Calibri" w:hAnsi="Calibri"/>
          <w:sz w:val="21"/>
          <w:szCs w:val="21"/>
        </w:rPr>
        <w:t xml:space="preserve">submit to the Lender all financial statements, certificates, stock statements, receivable statements, insurance policies and other information required under the facility documents; and</w:t>
      </w:r>
    </w:p>
    <w:p>
      <w:pPr>
        <w:spacing w:after="100" w:before="40" w:line="276"/>
        <w:ind w:left="1440" w:hanging="720"/>
        <w:jc w:val="both"/>
      </w:pPr>
      <w:r>
        <w:rPr>
          <w:rFonts w:ascii="Calibri" w:cs="Calibri" w:eastAsia="Calibri" w:hAnsi="Calibri"/>
          <w:sz w:val="21"/>
          <w:szCs w:val="21"/>
        </w:rPr>
        <w:t xml:space="preserve">(vi)	</w:t>
      </w:r>
      <w:r>
        <w:rPr>
          <w:rFonts w:ascii="Calibri" w:cs="Calibri" w:eastAsia="Calibri" w:hAnsi="Calibri"/>
          <w:sz w:val="21"/>
          <w:szCs w:val="21"/>
        </w:rPr>
        <w:t xml:space="preserve">do all such further acts and things as may be necessary or incidental to the borrowing and the creation of security.</w:t>
      </w:r>
    </w:p>
    <w:p>
      <w:pPr>
        <w:spacing w:after="140" w:before="14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company secretary or any director of the Company be and is hereby authorised to file the particulars of the charge with the Registrar of Companies in the prescribed form and within the period prescribed, to pay the prescribed fee and any additional fee, to enter the charge in the register of charges maintained by the Company, and to obtain and preserve the certificate of registration of charge.</w:t>
      </w:r>
    </w:p>
    <w:p>
      <w:pPr>
        <w:spacing w:after="20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a certified true copy of this resolution be furnished to the Lender under the signature of any director or the company secretary of the Company, and that the Lender be entitled to act on it until it receives written notice of revocation.</w:t>
      </w:r>
      <w:r>
        <w:rPr>
          <w:rFonts w:ascii="Calibri" w:cs="Calibri" w:eastAsia="Calibri" w:hAnsi="Calibri"/>
          <w:b/>
          <w:bCs/>
          <w:sz w:val="21"/>
          <w:szCs w:val="21"/>
        </w:rPr>
        <w:t xml:space="preserve">"</w:t>
      </w:r>
    </w:p>
    <w:p>
      <w:pPr>
        <w:spacing w:after="220" w:before="0" w:line="276"/>
        <w:jc w:val="both"/>
      </w:pPr>
      <w:r>
        <w:rPr>
          <w:rFonts w:ascii="Calibri" w:cs="Calibri" w:eastAsia="Calibri" w:hAnsi="Calibri"/>
          <w:b/>
          <w:bCs/>
          <w:sz w:val="21"/>
          <w:szCs w:val="21"/>
        </w:rPr>
        <w:t xml:space="preserve">Certified to be a true copy of the resolution passed at the meeting referred to above, which remains in force and has not been amended or rescinded.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 / Company Secretary]</w:t>
            </w:r>
          </w:p>
          <w:p>
            <w:pPr>
              <w:spacing w:after="90" w:line="264"/>
            </w:pPr>
            <w:r>
              <w:rPr>
                <w:rFonts w:ascii="Calibri" w:cs="Calibri" w:eastAsia="Calibri" w:hAnsi="Calibri"/>
                <w:sz w:val="21"/>
                <w:szCs w:val="21"/>
              </w:rPr>
              <w:t xml:space="preserve">DIN / Membership No.: </w:t>
            </w:r>
            <w:r>
              <w:rPr>
                <w:rFonts w:ascii="Calibri" w:cs="Calibri" w:eastAsia="Calibri" w:hAnsi="Calibri"/>
                <w:b/>
                <w:bCs/>
                <w:sz w:val="21"/>
                <w:szCs w:val="21"/>
              </w:rPr>
              <w:t xml:space="preserve">[NUMBER]</w:t>
            </w: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Borrowing Position and Approval Threshold</w:t>
      </w:r>
    </w:p>
    <w:p>
      <w:pPr>
        <w:spacing w:after="140" w:before="0" w:line="276"/>
        <w:jc w:val="both"/>
      </w:pPr>
      <w:r>
        <w:rPr>
          <w:rFonts w:ascii="Calibri" w:cs="Calibri" w:eastAsia="Calibri" w:hAnsi="Calibri"/>
          <w:i/>
          <w:iCs/>
          <w:sz w:val="21"/>
          <w:szCs w:val="21"/>
        </w:rPr>
        <w:t xml:space="preserve">Complete this before the meeting. It is the working that shows whether shareholder approval is needed, and it is the first thing a lender’s counsel and a later diligence will ask for.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1927"/>
        <w:gridCol w:w="3278"/>
      </w:tblGrid>
      <w:tr>
        <w:trPr>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c>
          <w:tcPr>
            <w:tcW w:type="dxa" w:w="32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Paid-up share capital</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Audited balance sheet as at </w:t>
            </w:r>
            <w:r>
              <w:rPr>
                <w:rFonts w:ascii="Calibri" w:cs="Calibri" w:eastAsia="Calibri" w:hAnsi="Calibri"/>
                <w:b/>
                <w:bCs/>
                <w:sz w:val="19"/>
                <w:szCs w:val="19"/>
              </w:rPr>
              <w:t xml:space="preserve">[DATE]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Free reserves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Audited balance sheet — excluding reserves not available for distribution</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Securities premium</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Audited balance sheet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Aggregate of the above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278"/>
            <w:tcMar>
              <w:top w:type="dxa" w:w="70"/>
              <w:left w:type="dxa" w:w="100"/>
              <w:bottom w:type="dxa" w:w="70"/>
              <w:right w:type="dxa" w:w="100"/>
            </w:tcMar>
            <w:vAlign w:val="center"/>
          </w:tcPr>
          <w:p>
            <w:pPr>
              <w:spacing w:after="0" w:line="240"/>
              <w:jc w:val="left"/>
            </w:pP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Existing borrowings outstanding</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Schedule at Annexure C</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 temporary loans obtained from the Company’s bankers in the ordinary course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[AMOUNT]</w:t>
            </w:r>
            <w:r>
              <w:rPr>
                <w:rFonts w:ascii="Calibri" w:cs="Calibri" w:eastAsia="Calibri" w:hAnsi="Calibri"/>
                <w:sz w:val="19"/>
                <w:szCs w:val="19"/>
              </w:rPr>
              <w:t xml:space="preserve">)</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Existing borrowings counted towards the threshold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278"/>
            <w:tcMar>
              <w:top w:type="dxa" w:w="70"/>
              <w:left w:type="dxa" w:w="100"/>
              <w:bottom w:type="dxa" w:w="70"/>
              <w:right w:type="dxa" w:w="100"/>
            </w:tcMar>
            <w:vAlign w:val="center"/>
          </w:tcPr>
          <w:p>
            <w:pPr>
              <w:spacing w:after="0" w:line="240"/>
              <w:jc w:val="left"/>
            </w:pP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borrowing</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Sanction letter dated </w:t>
            </w:r>
            <w:r>
              <w:rPr>
                <w:rFonts w:ascii="Calibri" w:cs="Calibri" w:eastAsia="Calibri" w:hAnsi="Calibri"/>
                <w:b/>
                <w:bCs/>
                <w:sz w:val="19"/>
                <w:szCs w:val="19"/>
              </w:rPr>
              <w:t xml:space="preserve">[DATE]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after the proposed borrowing</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278"/>
            <w:tcMar>
              <w:top w:type="dxa" w:w="70"/>
              <w:left w:type="dxa" w:w="100"/>
              <w:bottom w:type="dxa" w:w="70"/>
              <w:right w:type="dxa" w:w="100"/>
            </w:tcMar>
            <w:vAlign w:val="center"/>
          </w:tcPr>
          <w:p>
            <w:pPr>
              <w:spacing w:after="0" w:line="240"/>
              <w:jc w:val="left"/>
            </w:pP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Does the total exceed the aggregate of capital, free reserves and securities premium?</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[YES / NO]</w:t>
            </w:r>
          </w:p>
        </w:tc>
        <w:tc>
          <w:tcPr>
            <w:tcW w:type="dxa" w:w="3278"/>
            <w:tcMar>
              <w:top w:type="dxa" w:w="70"/>
              <w:left w:type="dxa" w:w="100"/>
              <w:bottom w:type="dxa" w:w="70"/>
              <w:right w:type="dxa" w:w="100"/>
            </w:tcMar>
            <w:vAlign w:val="center"/>
          </w:tcPr>
          <w:p>
            <w:pPr>
              <w:spacing w:after="0" w:line="240"/>
              <w:jc w:val="left"/>
            </w:pP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Does the threshold provision apply to the Company?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[YES / NO]</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the basis — company type and any applicable exemption]</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Special resolution required?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[YES / NO]</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[If yes, date passed and date of filing with the Registrar]</w:t>
            </w: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Security Offered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120"/>
        <w:gridCol w:w="2891"/>
        <w:gridCol w:w="1252"/>
        <w:gridCol w:w="1445"/>
        <w:gridCol w:w="144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Asset or security</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Value (₹)</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Ranking</w:t>
            </w:r>
          </w:p>
        </w:tc>
        <w:tc>
          <w:tcPr>
            <w:tcW w:type="dxa" w:w="14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Existing charges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Movable assets — hypothecation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[First / Second / Pari passu]</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 / None]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Immovable property — mortgage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[SURVEY NO., ADDRESS, AREA, TITLE DOCUMENT]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[RANKING]</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 / None]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accounts and fixed deposits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[ACCOUNT / FD NUMBERS]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[RANKING]</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 / None]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Personal guarantee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OF GUARANTOR]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 applicable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 applicable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Corporate guarantee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OF GUARANTOR COMPANY]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 applicable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 applicable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Existing Borrowings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1445"/>
        <w:gridCol w:w="1445"/>
        <w:gridCol w:w="1445"/>
        <w:gridCol w:w="1927"/>
        <w:gridCol w:w="1449"/>
      </w:tblGrid>
      <w:tr>
        <w:trPr>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Lender</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Facility</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Sanctioned (₹)</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Outstanding (₹)</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Security</w:t>
            </w:r>
          </w:p>
        </w:tc>
        <w:tc>
          <w:tcPr>
            <w:tcW w:type="dxa" w:w="144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Charge registered</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[LENDER]</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[TYPE]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44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[YES / NO — date]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[LENDER]</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[TYPE]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44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[YES / NO — date]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1445"/>
            <w:tcMar>
              <w:top w:type="dxa" w:w="70"/>
              <w:left w:type="dxa" w:w="100"/>
              <w:bottom w:type="dxa" w:w="70"/>
              <w:right w:type="dxa" w:w="100"/>
            </w:tcMar>
            <w:vAlign w:val="center"/>
          </w:tcPr>
          <w:p>
            <w:pPr>
              <w:spacing w:after="0" w:line="240"/>
              <w:jc w:val="left"/>
            </w:pP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7"/>
            <w:tcMar>
              <w:top w:type="dxa" w:w="70"/>
              <w:left w:type="dxa" w:w="100"/>
              <w:bottom w:type="dxa" w:w="70"/>
              <w:right w:type="dxa" w:w="100"/>
            </w:tcMar>
            <w:vAlign w:val="center"/>
          </w:tcPr>
          <w:p>
            <w:pPr>
              <w:spacing w:after="0" w:line="240"/>
              <w:jc w:val="left"/>
            </w:pPr>
          </w:p>
        </w:tc>
        <w:tc>
          <w:tcPr>
            <w:tcW w:type="dxa" w:w="1449"/>
            <w:tcMar>
              <w:top w:type="dxa" w:w="70"/>
              <w:left w:type="dxa" w:w="100"/>
              <w:bottom w:type="dxa" w:w="70"/>
              <w:right w:type="dxa" w:w="100"/>
            </w:tcMar>
            <w:vAlign w:val="center"/>
          </w:tcPr>
          <w:p>
            <w:pPr>
              <w:spacing w:after="0" w:line="240"/>
              <w:jc w:val="center"/>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Two different approvals, and they are frequently confused</w:t>
      </w:r>
    </w:p>
    <w:p>
      <w:pPr>
        <w:spacing w:after="60" w:line="264"/>
        <w:jc w:val="both"/>
      </w:pPr>
      <w:r>
        <w:rPr>
          <w:rFonts w:ascii="Calibri" w:cs="Calibri" w:eastAsia="Calibri" w:hAnsi="Calibri"/>
          <w:sz w:val="19"/>
          <w:szCs w:val="19"/>
        </w:rPr>
        <w:t xml:space="preserve">The power to borrow is exercised by the Board. Separately, where the total borrowings of a company exceed the aggregate of its paid-up share capital, free reserves and securities premium, shareholder approval by special resolution is required before the excess is borrowed. Temporary loans obtained from the company’s bankers in the ordinary course of business are excluded from that computation. Annexure A is the working that establishes which side of the line the Company is on — do it before the meeting, not afterwards.</w:t>
      </w:r>
    </w:p>
    <w:p>
      <w:pPr>
        <w:keepNext/>
        <w:spacing w:after="40" w:before="140"/>
      </w:pPr>
      <w:r>
        <w:rPr>
          <w:rFonts w:ascii="Calibri" w:cs="Calibri" w:eastAsia="Calibri" w:hAnsi="Calibri"/>
          <w:b/>
          <w:bCs/>
          <w:color w:val="14161B"/>
          <w:sz w:val="20"/>
          <w:szCs w:val="20"/>
        </w:rPr>
        <w:t xml:space="preserve">Check whether the threshold applies at all</w:t>
      </w:r>
    </w:p>
    <w:p>
      <w:pPr>
        <w:spacing w:after="60" w:line="264"/>
        <w:jc w:val="both"/>
      </w:pPr>
      <w:r>
        <w:rPr>
          <w:rFonts w:ascii="Calibri" w:cs="Calibri" w:eastAsia="Calibri" w:hAnsi="Calibri"/>
          <w:sz w:val="19"/>
          <w:szCs w:val="19"/>
        </w:rPr>
        <w:t xml:space="preserve">The provision requiring shareholder approval does not apply uniformly to every company. Exemptions are available to certain classes of company, subject to conditions including that the company is not in default in filing its financial statements or annual returns. Do not assume the exemption applies simply because the Company is private — confirm the current position and the conditions, and record the basis in Annexure A so that a later reader can see the reasoning.</w:t>
      </w:r>
    </w:p>
    <w:p>
      <w:pPr>
        <w:keepNext/>
        <w:spacing w:after="40" w:before="140"/>
      </w:pPr>
      <w:r>
        <w:rPr>
          <w:rFonts w:ascii="Calibri" w:cs="Calibri" w:eastAsia="Calibri" w:hAnsi="Calibri"/>
          <w:b/>
          <w:bCs/>
          <w:color w:val="14161B"/>
          <w:sz w:val="20"/>
          <w:szCs w:val="20"/>
        </w:rPr>
        <w:t xml:space="preserve">Register the charge, and register it on time</w:t>
      </w:r>
    </w:p>
    <w:p>
      <w:pPr>
        <w:spacing w:after="60" w:line="264"/>
        <w:jc w:val="both"/>
      </w:pPr>
      <w:r>
        <w:rPr>
          <w:rFonts w:ascii="Calibri" w:cs="Calibri" w:eastAsia="Calibri" w:hAnsi="Calibri"/>
          <w:sz w:val="19"/>
          <w:szCs w:val="19"/>
        </w:rPr>
        <w:t xml:space="preserve">A charge must be registered with the Registrar within the prescribed period. Late registration is possible on payment of an additional fee within a further window, but the window is finite and the consequence of missing it is severe: an unregistered charge is void against a liquidator and against other creditors, so the lender becomes unsecured in exactly the situation the security was created for. Diarise the filing on the day the security document is executed.</w:t>
      </w:r>
    </w:p>
    <w:p>
      <w:pPr>
        <w:keepNext/>
        <w:spacing w:after="40" w:before="140"/>
      </w:pPr>
      <w:r>
        <w:rPr>
          <w:rFonts w:ascii="Calibri" w:cs="Calibri" w:eastAsia="Calibri" w:hAnsi="Calibri"/>
          <w:b/>
          <w:bCs/>
          <w:color w:val="14161B"/>
          <w:sz w:val="20"/>
          <w:szCs w:val="20"/>
        </w:rPr>
        <w:t xml:space="preserve">The register of charges is a separate obligation</w:t>
      </w:r>
    </w:p>
    <w:p>
      <w:pPr>
        <w:spacing w:after="60" w:line="264"/>
        <w:jc w:val="both"/>
      </w:pPr>
      <w:r>
        <w:rPr>
          <w:rFonts w:ascii="Calibri" w:cs="Calibri" w:eastAsia="Calibri" w:hAnsi="Calibri"/>
          <w:sz w:val="19"/>
          <w:szCs w:val="19"/>
        </w:rPr>
        <w:t xml:space="preserve">Registration with the Registrar and entry in the Company’s own register of charges are two different requirements. The Company’s register must be maintained at the registered office, kept permanently, and made available for inspection. Diligence will ask for it.</w:t>
      </w:r>
    </w:p>
    <w:p>
      <w:pPr>
        <w:keepNext/>
        <w:spacing w:after="40" w:before="140"/>
      </w:pPr>
      <w:r>
        <w:rPr>
          <w:rFonts w:ascii="Calibri" w:cs="Calibri" w:eastAsia="Calibri" w:hAnsi="Calibri"/>
          <w:b/>
          <w:bCs/>
          <w:color w:val="14161B"/>
          <w:sz w:val="20"/>
          <w:szCs w:val="20"/>
        </w:rPr>
        <w:t xml:space="preserve">Satisfaction of charge is the one everyone forgets</w:t>
      </w:r>
    </w:p>
    <w:p>
      <w:pPr>
        <w:spacing w:after="60" w:line="264"/>
        <w:jc w:val="both"/>
      </w:pPr>
      <w:r>
        <w:rPr>
          <w:rFonts w:ascii="Calibri" w:cs="Calibri" w:eastAsia="Calibri" w:hAnsi="Calibri"/>
          <w:sz w:val="19"/>
          <w:szCs w:val="19"/>
        </w:rPr>
        <w:t xml:space="preserve">When a facility is repaid, the satisfaction of the charge must be filed. Companies routinely repay a loan and leave the charge on the register for years, which then appears as an encumbrance in every subsequent diligence, delays every subsequent financing, and requires a no-objection letter from a lender whose relationship manager left long ago. Obtain the no-objection letter at the time of repayment and file immediately.</w:t>
      </w:r>
    </w:p>
    <w:p>
      <w:pPr>
        <w:keepNext/>
        <w:spacing w:after="40" w:before="140"/>
      </w:pPr>
      <w:r>
        <w:rPr>
          <w:rFonts w:ascii="Calibri" w:cs="Calibri" w:eastAsia="Calibri" w:hAnsi="Calibri"/>
          <w:b/>
          <w:bCs/>
          <w:color w:val="14161B"/>
          <w:sz w:val="20"/>
          <w:szCs w:val="20"/>
        </w:rPr>
        <w:t xml:space="preserve">Negative covenants bind the next round</w:t>
      </w:r>
    </w:p>
    <w:p>
      <w:pPr>
        <w:spacing w:after="60" w:line="264"/>
        <w:jc w:val="both"/>
      </w:pPr>
      <w:r>
        <w:rPr>
          <w:rFonts w:ascii="Calibri" w:cs="Calibri" w:eastAsia="Calibri" w:hAnsi="Calibri"/>
          <w:sz w:val="19"/>
          <w:szCs w:val="19"/>
        </w:rPr>
        <w:t xml:space="preserve">Facility documents routinely restrict further borrowing, the creation of further security, changes in shareholding, dividends, disposals and changes of control. Those covenants will be triggered by the next equity round. Read them before signing, and where a change of control provision exists, note it on the diligence checklist so that the consent is obtained rather than discovered.</w:t>
      </w:r>
    </w:p>
    <w:p>
      <w:pPr>
        <w:keepNext/>
        <w:spacing w:after="40" w:before="140"/>
      </w:pPr>
      <w:r>
        <w:rPr>
          <w:rFonts w:ascii="Calibri" w:cs="Calibri" w:eastAsia="Calibri" w:hAnsi="Calibri"/>
          <w:b/>
          <w:bCs/>
          <w:color w:val="14161B"/>
          <w:sz w:val="20"/>
          <w:szCs w:val="20"/>
        </w:rPr>
        <w:t xml:space="preserve">Personal guarantees from founders</w:t>
      </w:r>
    </w:p>
    <w:p>
      <w:pPr>
        <w:spacing w:after="60" w:line="264"/>
        <w:jc w:val="both"/>
      </w:pPr>
      <w:r>
        <w:rPr>
          <w:rFonts w:ascii="Calibri" w:cs="Calibri" w:eastAsia="Calibri" w:hAnsi="Calibri"/>
          <w:sz w:val="19"/>
          <w:szCs w:val="19"/>
        </w:rPr>
        <w:t xml:space="preserve">Lenders to early-stage and mid-market companies routinely ask for personal guarantees from promoters. That is a personal liability outside the corporate structure, it survives the founder leaving the Company, and it is not extinguished by a subsequent investment. Where a guarantee is given, record who gave it and negotiate a release trigger. Any shareholders’ agreement should oblige the Company to use best efforts to procure the release of a departing founder.</w:t>
      </w:r>
    </w:p>
    <w:p>
      <w:pPr>
        <w:keepNext/>
        <w:spacing w:after="40" w:before="140"/>
      </w:pPr>
      <w:r>
        <w:rPr>
          <w:rFonts w:ascii="Calibri" w:cs="Calibri" w:eastAsia="Calibri" w:hAnsi="Calibri"/>
          <w:b/>
          <w:bCs/>
          <w:color w:val="14161B"/>
          <w:sz w:val="20"/>
          <w:szCs w:val="20"/>
        </w:rPr>
        <w:t xml:space="preserve">Initial the sanction letter</w:t>
      </w:r>
    </w:p>
    <w:p>
      <w:pPr>
        <w:spacing w:after="60" w:line="264"/>
        <w:jc w:val="both"/>
      </w:pPr>
      <w:r>
        <w:rPr>
          <w:rFonts w:ascii="Calibri" w:cs="Calibri" w:eastAsia="Calibri" w:hAnsi="Calibri"/>
          <w:sz w:val="19"/>
          <w:szCs w:val="19"/>
        </w:rPr>
        <w:t xml:space="preserve">The resolution refers to a sanction letter identified by the Chairperson’s initials. This matters because sanction letters are revised repeatedly during negotiation. Without identification, there is no record of which version the Board actually approved.</w:t>
      </w:r>
    </w:p>
    <w:p>
      <w:pPr>
        <w:keepNext/>
        <w:spacing w:after="40" w:before="140"/>
      </w:pPr>
      <w:r>
        <w:rPr>
          <w:rFonts w:ascii="Calibri" w:cs="Calibri" w:eastAsia="Calibri" w:hAnsi="Calibri"/>
          <w:b/>
          <w:bCs/>
          <w:color w:val="14161B"/>
          <w:sz w:val="20"/>
          <w:szCs w:val="20"/>
        </w:rPr>
        <w:t xml:space="preserve">Limit the authority to vary</w:t>
      </w:r>
    </w:p>
    <w:p>
      <w:pPr>
        <w:spacing w:after="60" w:line="264"/>
        <w:jc w:val="both"/>
      </w:pPr>
      <w:r>
        <w:rPr>
          <w:rFonts w:ascii="Calibri" w:cs="Calibri" w:eastAsia="Calibri" w:hAnsi="Calibri"/>
          <w:sz w:val="19"/>
          <w:szCs w:val="19"/>
        </w:rPr>
        <w:t xml:space="preserve">Paragraph (iii) allows the authorised persons to agree amendments but not to increase the principal. Without that carve-out, a general authority to agree amendments permits an increase in the facility without the Board seeing it again. Keep the carve-out.</w:t>
      </w:r>
    </w:p>
    <w:p>
      <w:pPr>
        <w:keepNext/>
        <w:spacing w:after="40" w:before="140"/>
      </w:pPr>
      <w:r>
        <w:rPr>
          <w:rFonts w:ascii="Calibri" w:cs="Calibri" w:eastAsia="Calibri" w:hAnsi="Calibri"/>
          <w:b/>
          <w:bCs/>
          <w:color w:val="14161B"/>
          <w:sz w:val="20"/>
          <w:szCs w:val="20"/>
        </w:rPr>
        <w:t xml:space="preserve">Related party lending</w:t>
      </w:r>
    </w:p>
    <w:p>
      <w:pPr>
        <w:spacing w:after="60" w:line="264"/>
        <w:jc w:val="both"/>
      </w:pPr>
      <w:r>
        <w:rPr>
          <w:rFonts w:ascii="Calibri" w:cs="Calibri" w:eastAsia="Calibri" w:hAnsi="Calibri"/>
          <w:sz w:val="19"/>
          <w:szCs w:val="19"/>
        </w:rPr>
        <w:t xml:space="preserve">Where the lender is a director, a shareholder, or a person connected with one, the borrowing may also engage the restrictions on loans to and from directors and the related party transaction requirements. Treat a loan from a promoter as a related party transaction and document it accordingly, including the interest rate and the repayment terms.</w:t>
      </w:r>
    </w:p>
    <w:p>
      <w:pPr>
        <w:keepNext/>
        <w:spacing w:after="40" w:before="140"/>
      </w:pPr>
      <w:r>
        <w:rPr>
          <w:rFonts w:ascii="Calibri" w:cs="Calibri" w:eastAsia="Calibri" w:hAnsi="Calibri"/>
          <w:b/>
          <w:bCs/>
          <w:color w:val="14161B"/>
          <w:sz w:val="20"/>
          <w:szCs w:val="20"/>
        </w:rPr>
        <w:t xml:space="preserve">Deposits</w:t>
      </w:r>
    </w:p>
    <w:p>
      <w:pPr>
        <w:spacing w:after="60" w:line="264"/>
        <w:jc w:val="both"/>
      </w:pPr>
      <w:r>
        <w:rPr>
          <w:rFonts w:ascii="Calibri" w:cs="Calibri" w:eastAsia="Calibri" w:hAnsi="Calibri"/>
          <w:sz w:val="19"/>
          <w:szCs w:val="19"/>
        </w:rPr>
        <w:t xml:space="preserve">Money accepted from persons other than banks, financial institutions, directors and certain others may be a deposit, which brings a substantial compliance regime with it. Money received from a director must be accompanied by a declaration that it is not from borrowed funds. Check the characterisation before accepting the money, not after.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Thresholds, exemptions, forms and filing periods change — confirm the current position with a company secretary before the meeting and before the charge filing.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2026-08-21T12:53:53.854Z</dcterms:created>
  <dcterms:modified xsi:type="dcterms:W3CDTF">2026-08-21T12:53:53.854Z</dcterms:modified>
</cp:coreProperties>
</file>

<file path=docProps/custom.xml><?xml version="1.0" encoding="utf-8"?>
<Properties xmlns="http://schemas.openxmlformats.org/officeDocument/2006/custom-properties" xmlns:vt="http://schemas.openxmlformats.org/officeDocument/2006/docPropsVTypes"/>
</file>