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Appointment of authorised signatories and delegation of authority</w:t>
      </w:r>
    </w:p>
    <w:p>
      <w:pPr>
        <w:spacing w:after="180" w:before="0" w:line="276"/>
        <w:jc w:val="both"/>
      </w:pPr>
      <w:r>
        <w:rPr>
          <w:rFonts w:ascii="Calibri" w:cs="Calibri" w:eastAsia="Calibri" w:hAnsi="Calibri"/>
          <w:i/>
          <w:iCs/>
          <w:color w:val="6E7480"/>
          <w:sz w:val="21"/>
          <w:szCs w:val="21"/>
        </w:rPr>
        <w:t xml:space="preserve">This resolution does two things that are often confused: it names the persons who may sign for the Company, and it sets out what each of them may commit the Company to. Keep the delegation matrix in Annexure A current — a stale matrix is worse than none, because it is relied 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[Meeting of the Board of Directors / Resolution passed by circulation]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spacing w:after="200"/>
      </w:pPr>
    </w:p>
    <w:p>
      <w:pPr>
        <w:spacing w:after="160" w:before="0" w:line="276"/>
        <w:jc w:val="both"/>
      </w:pPr>
      <w:r>
        <w:rPr>
          <w:rFonts w:ascii="Calibri" w:cs="Calibri" w:eastAsia="Calibri" w:hAnsi="Calibri"/>
          <w:sz w:val="21"/>
          <w:szCs w:val="21"/>
        </w:rPr>
        <w:t xml:space="preserve">The Chairperson informed the Board that, for the efficient conduct of the business of the Company, it was necessary to authorise named persons to execute documents and to commit the Company within defined limits, and to record that authority in a form capable of being produced to banks, customers, suppliers, and government authorities. After discussion, the Board passed the following resolution:</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persons named in Annexure A be and are hereby appointed as authorised signatories of the Company, and be and are hereby severally authorised, subject to the limits and conditions set out against their names in that Annexure, to act for and on behalf of the Company in the matters set out below.</w:t>
      </w:r>
    </w:p>
    <w:p>
      <w:pPr>
        <w:spacing w:after="1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each authorised signatory be and is hereby authorised, within the limits applicable to that signatory,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negotiate, finalise, execute and deliver, for and on behalf of the Company, agreements, contracts, purchase orders, statements of work, engagement letters, non-disclosure agreements, letters of intent, quotations, proposals and other commercial documents;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execute and file applications, returns, forms, undertakings, declarations, affidavits, bonds and indemnities with any government, statutory, regulatory or judicial authority, including the Registrar of Companies, the tax authorities, the goods and services tax authorities, the customs authorities, and any labour or social security authority;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sign and issue invoices, credit notes, debit notes, delivery challans, receipts and acknowledgements;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sign, submit and receive correspondence, notices and communications on behalf of the Company, and to receive and acknowledge service of any notice or process;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represent the Company before any authority, appear and make submissions, and appoint and instruct advocates, chartered accountants, company secretaries, cost accountants and other professionals;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execute employment agreements, appointment letters, offer letters and separation documents, and to sign statutory records and returns relating to employees;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apply for, hold, renew, surrender and comply with the conditions of any licence, registration, permit or approval required for the business of the Company;</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affix the common seal of the Company, where the articles of association so require, in the presence of and countersigned as prescribed by those articles; and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do all such further acts and things as may be incidental or necessary to the matters set out above.</w:t>
      </w:r>
    </w:p>
    <w:p>
      <w:pPr>
        <w:spacing w:after="12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no authorised signatory shall, without a further specific resolution of the Board: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borrow any money, create any charge, mortgage, pledge or other encumbrance over any asset of the Company, or give any guarantee or indemnity in favour of any third party;</w:t>
      </w:r>
    </w:p>
    <w:p>
      <w:pPr>
        <w:spacing w:after="100" w:before="40" w:line="276"/>
        <w:ind w:left="1440" w:hanging="720"/>
        <w:jc w:val="both"/>
      </w:pPr>
      <w:r>
        <w:rPr>
          <w:rFonts w:ascii="Calibri" w:cs="Calibri" w:eastAsia="Calibri" w:hAnsi="Calibri"/>
          <w:sz w:val="21"/>
          <w:szCs w:val="21"/>
        </w:rPr>
        <w:t xml:space="preserve">(ii)	</w:t>
      </w:r>
      <w:r>
        <w:rPr>
          <w:rFonts w:ascii="Calibri" w:cs="Calibri" w:eastAsia="Calibri" w:hAnsi="Calibri"/>
          <w:sz w:val="21"/>
          <w:szCs w:val="21"/>
        </w:rPr>
        <w:t xml:space="preserve">issue, allot, transfer or buy back any securities of the Company;</w:t>
      </w:r>
    </w:p>
    <w:p>
      <w:pPr>
        <w:spacing w:after="100" w:before="40" w:line="276"/>
        <w:ind w:left="1440" w:hanging="720"/>
        <w:jc w:val="both"/>
      </w:pPr>
      <w:r>
        <w:rPr>
          <w:rFonts w:ascii="Calibri" w:cs="Calibri" w:eastAsia="Calibri" w:hAnsi="Calibri"/>
          <w:sz w:val="21"/>
          <w:szCs w:val="21"/>
        </w:rPr>
        <w:t xml:space="preserve">(iii)	</w:t>
      </w:r>
      <w:r>
        <w:rPr>
          <w:rFonts w:ascii="Calibri" w:cs="Calibri" w:eastAsia="Calibri" w:hAnsi="Calibri"/>
          <w:sz w:val="21"/>
          <w:szCs w:val="21"/>
        </w:rPr>
        <w:t xml:space="preserve">acquire, dispose of, lease out or licence any immovable property, or any material asset or intellectual property of the Company;</w:t>
      </w:r>
    </w:p>
    <w:p>
      <w:pPr>
        <w:spacing w:after="100" w:before="40" w:line="276"/>
        <w:ind w:left="1440" w:hanging="720"/>
        <w:jc w:val="both"/>
      </w:pPr>
      <w:r>
        <w:rPr>
          <w:rFonts w:ascii="Calibri" w:cs="Calibri" w:eastAsia="Calibri" w:hAnsi="Calibri"/>
          <w:sz w:val="21"/>
          <w:szCs w:val="21"/>
        </w:rPr>
        <w:t xml:space="preserve">(iv)	</w:t>
      </w:r>
      <w:r>
        <w:rPr>
          <w:rFonts w:ascii="Calibri" w:cs="Calibri" w:eastAsia="Calibri" w:hAnsi="Calibri"/>
          <w:sz w:val="21"/>
          <w:szCs w:val="21"/>
        </w:rPr>
        <w:t xml:space="preserve">enter into any related party transaction, or any transaction with a director or a relative or affiliate of a director;</w:t>
      </w:r>
    </w:p>
    <w:p>
      <w:pPr>
        <w:spacing w:after="100" w:before="40" w:line="276"/>
        <w:ind w:left="1440" w:hanging="720"/>
        <w:jc w:val="both"/>
      </w:pPr>
      <w:r>
        <w:rPr>
          <w:rFonts w:ascii="Calibri" w:cs="Calibri" w:eastAsia="Calibri" w:hAnsi="Calibri"/>
          <w:sz w:val="21"/>
          <w:szCs w:val="21"/>
        </w:rPr>
        <w:t xml:space="preserve">(v)	</w:t>
      </w:r>
      <w:r>
        <w:rPr>
          <w:rFonts w:ascii="Calibri" w:cs="Calibri" w:eastAsia="Calibri" w:hAnsi="Calibri"/>
          <w:sz w:val="21"/>
          <w:szCs w:val="21"/>
        </w:rPr>
        <w:t xml:space="preserve">commence, settle, compromise or withdraw any litigation, arbitration or regulatory proceeding, save for the filing of a routine reply or an application for extension of time;</w:t>
      </w:r>
    </w:p>
    <w:p>
      <w:pPr>
        <w:spacing w:after="100" w:before="40" w:line="276"/>
        <w:ind w:left="1440" w:hanging="720"/>
        <w:jc w:val="both"/>
      </w:pPr>
      <w:r>
        <w:rPr>
          <w:rFonts w:ascii="Calibri" w:cs="Calibri" w:eastAsia="Calibri" w:hAnsi="Calibri"/>
          <w:sz w:val="21"/>
          <w:szCs w:val="21"/>
        </w:rPr>
        <w:t xml:space="preserve">(vi)	</w:t>
      </w:r>
      <w:r>
        <w:rPr>
          <w:rFonts w:ascii="Calibri" w:cs="Calibri" w:eastAsia="Calibri" w:hAnsi="Calibri"/>
          <w:sz w:val="21"/>
          <w:szCs w:val="21"/>
        </w:rPr>
        <w:t xml:space="preserve">agree to any contractual term imposing unlimited liability on the Company, or an indemnity uncapped in amount or duration; or</w:t>
      </w:r>
    </w:p>
    <w:p>
      <w:pPr>
        <w:spacing w:after="100" w:before="40" w:line="276"/>
        <w:ind w:left="1440" w:hanging="720"/>
        <w:jc w:val="both"/>
      </w:pPr>
      <w:r>
        <w:rPr>
          <w:rFonts w:ascii="Calibri" w:cs="Calibri" w:eastAsia="Calibri" w:hAnsi="Calibri"/>
          <w:sz w:val="21"/>
          <w:szCs w:val="21"/>
        </w:rPr>
        <w:t xml:space="preserve">(vii)	</w:t>
      </w:r>
      <w:r>
        <w:rPr>
          <w:rFonts w:ascii="Calibri" w:cs="Calibri" w:eastAsia="Calibri" w:hAnsi="Calibri"/>
          <w:sz w:val="21"/>
          <w:szCs w:val="21"/>
        </w:rPr>
        <w:t xml:space="preserve">commit the Company to any expenditure or liability exceeding the limit specified against that signatory in Annexure A, whether in a single transaction or in a series of related transactions.</w:t>
      </w:r>
    </w:p>
    <w:p>
      <w:pPr>
        <w:spacing w:after="12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authority conferred by this resolution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take effect from </w:t>
      </w:r>
      <w:r>
        <w:rPr>
          <w:rFonts w:ascii="Calibri" w:cs="Calibri" w:eastAsia="Calibri" w:hAnsi="Calibri"/>
          <w:b/>
          <w:bCs/>
          <w:sz w:val="21"/>
          <w:szCs w:val="21"/>
        </w:rPr>
        <w:t xml:space="preserve">[DATE]</w:t>
      </w:r>
      <w:r>
        <w:rPr>
          <w:rFonts w:ascii="Calibri" w:cs="Calibri" w:eastAsia="Calibri" w:hAnsi="Calibri"/>
          <w:sz w:val="21"/>
          <w:szCs w:val="21"/>
        </w:rPr>
        <w:t xml:space="preserve"> and shall continue until revoked or varied by a resolution of the Board;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 the case of a signatory who is an employee, terminate automatically on that person ceasing to be an employee of the Company, without the need for any further resolution;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in the case of a signatory who is a director, terminate automatically on that person ceasing to hold office as a director.</w:t>
      </w:r>
    </w:p>
    <w:p>
      <w:pPr>
        <w:spacing w:after="20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any director of the Company be and is hereby authorised to certify true copies of this resolution and of Annexure A, and to furnish them to any bank, customer, supplier, authority or other person requiring evidence of the authority conferred, and that any person dealing with the Company shall be entitled to rely on a copy so certified until it receives written notice of revocation or variation signed by a director or the company secretary of the Company.</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Authorised Signatories and Delegation of Authority</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2255"/>
        <w:gridCol w:w="2255"/>
        <w:gridCol w:w="1654"/>
        <w:gridCol w:w="2556"/>
        <w:gridCol w:w="1954"/>
        <w:gridCol w:w="1954"/>
        <w:gridCol w:w="1809"/>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Designation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DIN / Employee No.</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 of authority</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Financial limit per transaction (₹)</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Joint signature required above (₹)</w:t>
            </w:r>
          </w:p>
        </w:tc>
        <w:tc>
          <w:tcPr>
            <w:tcW w:type="dxa" w:w="18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Specimen signature</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Managing Director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[DIN]</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matters (a) to (i)</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[DIN]</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matters (a) to (i)</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Chief Financial Officer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to (e)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Secretary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 (d), (e), (h)</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applicable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applicable</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Head of Sales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 (d)</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Head of People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 (f)</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Head of Procurement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809"/>
            <w:tcMar>
              <w:top w:type="dxa" w:w="70"/>
              <w:left w:type="dxa" w:w="100"/>
              <w:bottom w:type="dxa" w:w="70"/>
              <w:right w:type="dxa" w:w="100"/>
            </w:tcMar>
            <w:vAlign w:val="center"/>
          </w:tcPr>
          <w:p>
            <w:pPr>
              <w:spacing w:after="0" w:line="240"/>
              <w:jc w:val="left"/>
            </w:pPr>
          </w:p>
        </w:tc>
      </w:tr>
    </w:tbl>
    <w:p>
      <w:pPr>
        <w:spacing w:after="180"/>
      </w:pPr>
    </w:p>
    <w:p>
      <w:pPr>
        <w:spacing w:after="200" w:before="0" w:line="276"/>
        <w:jc w:val="both"/>
      </w:pPr>
      <w:r>
        <w:rPr>
          <w:rFonts w:ascii="Calibri" w:cs="Calibri" w:eastAsia="Calibri" w:hAnsi="Calibri"/>
          <w:b/>
          <w:bCs/>
          <w:sz w:val="21"/>
          <w:szCs w:val="21"/>
        </w:rPr>
        <w:t xml:space="preserve">Attested: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Authority to sign and authority to commit are different things</w:t>
      </w:r>
    </w:p>
    <w:p>
      <w:pPr>
        <w:spacing w:after="60" w:line="264"/>
        <w:jc w:val="both"/>
      </w:pPr>
      <w:r>
        <w:rPr>
          <w:rFonts w:ascii="Calibri" w:cs="Calibri" w:eastAsia="Calibri" w:hAnsi="Calibri"/>
          <w:sz w:val="19"/>
          <w:szCs w:val="19"/>
        </w:rPr>
        <w:t xml:space="preserve">A person may be authorised to execute a document without being authorised to agree to its terms. This resolution deliberately separates the two: the categories in Annexure A say what a signatory may sign, and the financial limits say how far that signatory may commit the Company. Companies that authorise signature without limits discover the gap when a mid-level manager signs a contract with an uncapped indemnity.</w:t>
      </w:r>
    </w:p>
    <w:p>
      <w:pPr>
        <w:keepNext/>
        <w:spacing w:after="40" w:before="140"/>
      </w:pPr>
      <w:r>
        <w:rPr>
          <w:rFonts w:ascii="Calibri" w:cs="Calibri" w:eastAsia="Calibri" w:hAnsi="Calibri"/>
          <w:b/>
          <w:bCs/>
          <w:color w:val="14161B"/>
          <w:sz w:val="20"/>
          <w:szCs w:val="20"/>
        </w:rPr>
        <w:t xml:space="preserve">The negative list is the operative part</w:t>
      </w:r>
    </w:p>
    <w:p>
      <w:pPr>
        <w:spacing w:after="60" w:line="264"/>
        <w:jc w:val="both"/>
      </w:pPr>
      <w:r>
        <w:rPr>
          <w:rFonts w:ascii="Calibri" w:cs="Calibri" w:eastAsia="Calibri" w:hAnsi="Calibri"/>
          <w:sz w:val="19"/>
          <w:szCs w:val="19"/>
        </w:rPr>
        <w:t xml:space="preserve">The list of matters requiring a further Board resolution does more work than the list of authorisations. Borrowing, encumbrances, guarantees, securities, immovable property, related party transactions, litigation and uncapped liability should never sit in a general delegation. Keep that list even if the Company is small; the cost of including it is nothing and the cost of omitting it is discovered only once.</w:t>
      </w:r>
    </w:p>
    <w:p>
      <w:pPr>
        <w:keepNext/>
        <w:spacing w:after="40" w:before="140"/>
      </w:pPr>
      <w:r>
        <w:rPr>
          <w:rFonts w:ascii="Calibri" w:cs="Calibri" w:eastAsia="Calibri" w:hAnsi="Calibri"/>
          <w:b/>
          <w:bCs/>
          <w:color w:val="14161B"/>
          <w:sz w:val="20"/>
          <w:szCs w:val="20"/>
        </w:rPr>
        <w:t xml:space="preserve">Uncapped liability and indemnities</w:t>
      </w:r>
    </w:p>
    <w:p>
      <w:pPr>
        <w:spacing w:after="60" w:line="264"/>
        <w:jc w:val="both"/>
      </w:pPr>
      <w:r>
        <w:rPr>
          <w:rFonts w:ascii="Calibri" w:cs="Calibri" w:eastAsia="Calibri" w:hAnsi="Calibri"/>
          <w:sz w:val="19"/>
          <w:szCs w:val="19"/>
        </w:rPr>
        <w:t xml:space="preserve">Paragraph (vi) of the negative list exists because unlimited liability clauses and uncapped indemnities are agreed at the working level far more often than at the Board level. Where the Company routinely faces customer paper containing them, give the delegation to a named person with a fixed escalation path rather than leaving it unaddressed.</w:t>
      </w:r>
    </w:p>
    <w:p>
      <w:pPr>
        <w:keepNext/>
        <w:spacing w:after="40" w:before="140"/>
      </w:pPr>
      <w:r>
        <w:rPr>
          <w:rFonts w:ascii="Calibri" w:cs="Calibri" w:eastAsia="Calibri" w:hAnsi="Calibri"/>
          <w:b/>
          <w:bCs/>
          <w:color w:val="14161B"/>
          <w:sz w:val="20"/>
          <w:szCs w:val="20"/>
        </w:rPr>
        <w:t xml:space="preserve">Automatic termination on cessation</w:t>
      </w:r>
    </w:p>
    <w:p>
      <w:pPr>
        <w:spacing w:after="60" w:line="264"/>
        <w:jc w:val="both"/>
      </w:pPr>
      <w:r>
        <w:rPr>
          <w:rFonts w:ascii="Calibri" w:cs="Calibri" w:eastAsia="Calibri" w:hAnsi="Calibri"/>
          <w:sz w:val="19"/>
          <w:szCs w:val="19"/>
        </w:rPr>
        <w:t xml:space="preserve">Authority that survives the departure of the person holding it is a live exposure. The automatic termination provision helps, but it does not by itself notify counterparties, banks and portals. Maintain a revocation checklist covering bank mandates, statutory portal credentials, e-invoicing and e-way bill access, digital signature certificates, and any power of attorney granted, and run it on the last working day.</w:t>
      </w:r>
    </w:p>
    <w:p>
      <w:pPr>
        <w:keepNext/>
        <w:spacing w:after="40" w:before="140"/>
      </w:pPr>
      <w:r>
        <w:rPr>
          <w:rFonts w:ascii="Calibri" w:cs="Calibri" w:eastAsia="Calibri" w:hAnsi="Calibri"/>
          <w:b/>
          <w:bCs/>
          <w:color w:val="14161B"/>
          <w:sz w:val="20"/>
          <w:szCs w:val="20"/>
        </w:rPr>
        <w:t xml:space="preserve">Digital signature certificates</w:t>
      </w:r>
    </w:p>
    <w:p>
      <w:pPr>
        <w:spacing w:after="60" w:line="264"/>
        <w:jc w:val="both"/>
      </w:pPr>
      <w:r>
        <w:rPr>
          <w:rFonts w:ascii="Calibri" w:cs="Calibri" w:eastAsia="Calibri" w:hAnsi="Calibri"/>
          <w:sz w:val="19"/>
          <w:szCs w:val="19"/>
        </w:rPr>
        <w:t xml:space="preserve">Most statutory filings are made using a digital signature certificate issued in the name of an individual. That certificate is personal to the holder and cannot be transferred. Record against each signatory in Annexure A whether a certificate is held, its expiry, and who has custody of the token, and treat its return as part of the exit checklist.</w:t>
      </w:r>
    </w:p>
    <w:p>
      <w:pPr>
        <w:keepNext/>
        <w:spacing w:after="40" w:before="140"/>
      </w:pPr>
      <w:r>
        <w:rPr>
          <w:rFonts w:ascii="Calibri" w:cs="Calibri" w:eastAsia="Calibri" w:hAnsi="Calibri"/>
          <w:b/>
          <w:bCs/>
          <w:color w:val="14161B"/>
          <w:sz w:val="20"/>
          <w:szCs w:val="20"/>
        </w:rPr>
        <w:t xml:space="preserve">Reliance by third parties</w:t>
      </w:r>
    </w:p>
    <w:p>
      <w:pPr>
        <w:spacing w:after="60" w:line="264"/>
        <w:jc w:val="both"/>
      </w:pPr>
      <w:r>
        <w:rPr>
          <w:rFonts w:ascii="Calibri" w:cs="Calibri" w:eastAsia="Calibri" w:hAnsi="Calibri"/>
          <w:sz w:val="19"/>
          <w:szCs w:val="19"/>
        </w:rPr>
        <w:t xml:space="preserve">The final resolution allows a counterparty to rely on a certified copy until it receives notice of revocation. That protects the counterparty, not the Company. Where a signatory has been removed, give written notice to every bank and material counterparty holding a certified copy rather than relying on the internal revocation alone.</w:t>
      </w:r>
    </w:p>
    <w:p>
      <w:pPr>
        <w:keepNext/>
        <w:spacing w:after="40" w:before="140"/>
      </w:pPr>
      <w:r>
        <w:rPr>
          <w:rFonts w:ascii="Calibri" w:cs="Calibri" w:eastAsia="Calibri" w:hAnsi="Calibri"/>
          <w:b/>
          <w:bCs/>
          <w:color w:val="14161B"/>
          <w:sz w:val="20"/>
          <w:szCs w:val="20"/>
        </w:rPr>
        <w:t xml:space="preserve">Keep the matrix current and dated</w:t>
      </w:r>
    </w:p>
    <w:p>
      <w:pPr>
        <w:spacing w:after="60" w:line="264"/>
        <w:jc w:val="both"/>
      </w:pPr>
      <w:r>
        <w:rPr>
          <w:rFonts w:ascii="Calibri" w:cs="Calibri" w:eastAsia="Calibri" w:hAnsi="Calibri"/>
          <w:sz w:val="19"/>
          <w:szCs w:val="19"/>
        </w:rPr>
        <w:t xml:space="preserve">A delegation matrix circulated once and never revised is relied on for years after it has ceased to reflect reality. Review Annexure A at least annually and on every change in the finance or leadership team, pass a fresh resolution rather than amending the annexure informally, and date every version.</w:t>
      </w:r>
    </w:p>
    <w:p>
      <w:pPr>
        <w:keepNext/>
        <w:spacing w:after="40" w:before="140"/>
      </w:pPr>
      <w:r>
        <w:rPr>
          <w:rFonts w:ascii="Calibri" w:cs="Calibri" w:eastAsia="Calibri" w:hAnsi="Calibri"/>
          <w:b/>
          <w:bCs/>
          <w:color w:val="14161B"/>
          <w:sz w:val="20"/>
          <w:szCs w:val="20"/>
        </w:rPr>
        <w:t xml:space="preserve">Company secretary’s authority is narrower by design</w:t>
      </w:r>
    </w:p>
    <w:p>
      <w:pPr>
        <w:spacing w:after="60" w:line="264"/>
        <w:jc w:val="both"/>
      </w:pPr>
      <w:r>
        <w:rPr>
          <w:rFonts w:ascii="Calibri" w:cs="Calibri" w:eastAsia="Calibri" w:hAnsi="Calibri"/>
          <w:sz w:val="19"/>
          <w:szCs w:val="19"/>
        </w:rPr>
        <w:t xml:space="preserve">The company secretary in Annexure A is authorised for statutory filings, correspondence, representation and the seal, but is given no financial limit. That separation is deliberate and should be preserved: the person who maintains the records should not also be able to commit the Company financially.</w:t>
      </w:r>
    </w:p>
    <w:p>
      <w:pPr>
        <w:keepNext/>
        <w:spacing w:after="40" w:before="140"/>
      </w:pPr>
      <w:r>
        <w:rPr>
          <w:rFonts w:ascii="Calibri" w:cs="Calibri" w:eastAsia="Calibri" w:hAnsi="Calibri"/>
          <w:b/>
          <w:bCs/>
          <w:color w:val="14161B"/>
          <w:sz w:val="20"/>
          <w:szCs w:val="20"/>
        </w:rPr>
        <w:t xml:space="preserve">The common seal</w:t>
      </w:r>
    </w:p>
    <w:p>
      <w:pPr>
        <w:spacing w:after="60" w:line="264"/>
        <w:jc w:val="both"/>
      </w:pPr>
      <w:r>
        <w:rPr>
          <w:rFonts w:ascii="Calibri" w:cs="Calibri" w:eastAsia="Calibri" w:hAnsi="Calibri"/>
          <w:sz w:val="19"/>
          <w:szCs w:val="19"/>
        </w:rPr>
        <w:t xml:space="preserve">The seal is no longer mandatory, but where the articles of association require it, documents executed without it may be challenged. Check the articles before assuming the seal can be dispensed with, and if it is retained, record in the articles and in this resolution who may affix it and who must countersign.</w:t>
      </w:r>
    </w:p>
    <w:p>
      <w:pPr>
        <w:keepNext/>
        <w:spacing w:after="40" w:before="140"/>
      </w:pPr>
      <w:r>
        <w:rPr>
          <w:rFonts w:ascii="Calibri" w:cs="Calibri" w:eastAsia="Calibri" w:hAnsi="Calibri"/>
          <w:b/>
          <w:bCs/>
          <w:color w:val="14161B"/>
          <w:sz w:val="20"/>
          <w:szCs w:val="20"/>
        </w:rPr>
        <w:t xml:space="preserve">Record and certify</w:t>
      </w:r>
    </w:p>
    <w:p>
      <w:pPr>
        <w:spacing w:after="60" w:line="264"/>
        <w:jc w:val="both"/>
      </w:pPr>
      <w:r>
        <w:rPr>
          <w:rFonts w:ascii="Calibri" w:cs="Calibri" w:eastAsia="Calibri" w:hAnsi="Calibri"/>
          <w:sz w:val="19"/>
          <w:szCs w:val="19"/>
        </w:rPr>
        <w:t xml:space="preserve">Enter the resolution in the minute book, retain the attested Annexure A with it, and certify copies before they leave the Company. Where a counterparty asks for a board resolution in its own form, compare it to this one before signing — counterparty forms frequently confer authority far wider than intended.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Have the delegation matrix reviewed against the articles of association and against the Company’s actual approval workflow before adoption.</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2026-08-21T12:53:53.810Z</dcterms:created>
  <dcterms:modified xsi:type="dcterms:W3CDTF">2026-08-21T12:53:53.810Z</dcterms:modified>
</cp:coreProperties>
</file>

<file path=docProps/custom.xml><?xml version="1.0" encoding="utf-8"?>
<Properties xmlns="http://schemas.openxmlformats.org/officeDocument/2006/custom-properties" xmlns:vt="http://schemas.openxmlformats.org/officeDocument/2006/docPropsVTypes"/>
</file>