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Allotment of securities on a private placement basis</w:t>
      </w:r>
    </w:p>
    <w:p>
      <w:pPr>
        <w:spacing w:after="180" w:before="0" w:line="276"/>
        <w:jc w:val="both"/>
      </w:pPr>
      <w:r>
        <w:rPr>
          <w:rFonts w:ascii="Calibri" w:cs="Calibri" w:eastAsia="Calibri" w:hAnsi="Calibri"/>
          <w:i/>
          <w:iCs/>
          <w:color w:val="6E7480"/>
          <w:sz w:val="21"/>
          <w:szCs w:val="21"/>
        </w:rPr>
        <w:t xml:space="preserve">Allotment is the last step in a sequence, not the first. The offer must already have been made to identified persons in the prescribed form, the money must already be in the separate bank account, and the shareholder approval must already have been passed and filed. Passing an allotment resolution before those steps are complete does not cure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of the Board of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Securities allotted</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[equity shares / compulsorily convertible preference shares]</w:t>
            </w:r>
            <w:r>
              <w:rPr>
                <w:rFonts w:ascii="Calibri" w:cs="Calibri" w:eastAsia="Calibri" w:hAnsi="Calibri"/>
                <w:sz w:val="19"/>
                <w:szCs w:val="19"/>
              </w:rPr>
              <w:t xml:space="preserve"> of ₹ </w:t>
            </w:r>
            <w:r>
              <w:rPr>
                <w:rFonts w:ascii="Calibri" w:cs="Calibri" w:eastAsia="Calibri" w:hAnsi="Calibri"/>
                <w:b/>
                <w:bCs/>
                <w:sz w:val="19"/>
                <w:szCs w:val="19"/>
              </w:rPr>
              <w:t xml:space="preserve">[FACE VALUE]</w:t>
            </w:r>
            <w:r>
              <w:rPr>
                <w:rFonts w:ascii="Calibri" w:cs="Calibri" w:eastAsia="Calibri" w:hAnsi="Calibri"/>
                <w:sz w:val="19"/>
                <w:szCs w:val="19"/>
              </w:rPr>
              <w:t xml:space="preserve"> each</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 price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w:t>
            </w:r>
            <w:r>
              <w:rPr>
                <w:rFonts w:ascii="Calibri" w:cs="Calibri" w:eastAsia="Calibri" w:hAnsi="Calibri"/>
                <w:sz w:val="19"/>
                <w:szCs w:val="19"/>
              </w:rPr>
              <w:t xml:space="preserve"> per security (face value ₹ </w:t>
            </w:r>
            <w:r>
              <w:rPr>
                <w:rFonts w:ascii="Calibri" w:cs="Calibri" w:eastAsia="Calibri" w:hAnsi="Calibri"/>
                <w:b/>
                <w:bCs/>
                <w:sz w:val="19"/>
                <w:szCs w:val="19"/>
              </w:rPr>
              <w:t xml:space="preserve">[FV]</w:t>
            </w:r>
            <w:r>
              <w:rPr>
                <w:rFonts w:ascii="Calibri" w:cs="Calibri" w:eastAsia="Calibri" w:hAnsi="Calibri"/>
                <w:sz w:val="19"/>
                <w:szCs w:val="19"/>
              </w:rPr>
              <w:t xml:space="preserve"> plus premium ₹ </w:t>
            </w:r>
            <w:r>
              <w:rPr>
                <w:rFonts w:ascii="Calibri" w:cs="Calibri" w:eastAsia="Calibri" w:hAnsi="Calibri"/>
                <w:b/>
                <w:bCs/>
                <w:sz w:val="19"/>
                <w:szCs w:val="19"/>
              </w:rPr>
              <w:t xml:space="preserve">[PREMIUM]</w:t>
            </w: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Aggregate consideration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bl>
    <w:p>
      <w:pPr>
        <w:spacing w:after="180"/>
      </w:pPr>
    </w:p>
    <w:p>
      <w:pPr>
        <w:keepNext/>
        <w:spacing w:after="120" w:before="280"/>
        <w:outlineLvl w:val="0"/>
      </w:pPr>
      <w:r>
        <w:rPr>
          <w:rFonts w:ascii="Calibri" w:cs="Calibri" w:eastAsia="Calibri" w:hAnsi="Calibri"/>
          <w:b/>
          <w:bCs/>
          <w:color w:val="14161B"/>
          <w:sz w:val="22"/>
          <w:szCs w:val="22"/>
        </w:rPr>
        <w:t xml:space="preserve">MATTERS PLACED BEFORE THE BOARD</w:t>
      </w:r>
    </w:p>
    <w:p>
      <w:pPr>
        <w:spacing w:after="120" w:before="0" w:line="276"/>
        <w:jc w:val="both"/>
      </w:pPr>
      <w:r>
        <w:rPr>
          <w:rFonts w:ascii="Calibri" w:cs="Calibri" w:eastAsia="Calibri" w:hAnsi="Calibri"/>
          <w:sz w:val="21"/>
          <w:szCs w:val="21"/>
        </w:rPr>
        <w:t xml:space="preserve">The Chairperson placed the following before the Board and confirmed that each step had been completed in the sequence required by law:</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special resolution passed by the members at the </w:t>
      </w:r>
      <w:r>
        <w:rPr>
          <w:rFonts w:ascii="Calibri" w:cs="Calibri" w:eastAsia="Calibri" w:hAnsi="Calibri"/>
          <w:b/>
          <w:bCs/>
          <w:sz w:val="21"/>
          <w:szCs w:val="21"/>
        </w:rPr>
        <w:t xml:space="preserve">[extraordinary]</w:t>
      </w:r>
      <w:r>
        <w:rPr>
          <w:rFonts w:ascii="Calibri" w:cs="Calibri" w:eastAsia="Calibri" w:hAnsi="Calibri"/>
          <w:sz w:val="21"/>
          <w:szCs w:val="21"/>
        </w:rPr>
        <w:t xml:space="preserve"> general meeting held on </w:t>
      </w:r>
      <w:r>
        <w:rPr>
          <w:rFonts w:ascii="Calibri" w:cs="Calibri" w:eastAsia="Calibri" w:hAnsi="Calibri"/>
          <w:b/>
          <w:bCs/>
          <w:sz w:val="21"/>
          <w:szCs w:val="21"/>
        </w:rPr>
        <w:t xml:space="preserve">[DATE]</w:t>
      </w:r>
      <w:r>
        <w:rPr>
          <w:rFonts w:ascii="Calibri" w:cs="Calibri" w:eastAsia="Calibri" w:hAnsi="Calibri"/>
          <w:sz w:val="21"/>
          <w:szCs w:val="21"/>
        </w:rPr>
        <w:t xml:space="preserve"> approving the offer and issue of securities on a private placement basis to identified persons, and the acknowledgement of its filing with the Registrar of Companies;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valuation report dated </w:t>
      </w:r>
      <w:r>
        <w:rPr>
          <w:rFonts w:ascii="Calibri" w:cs="Calibri" w:eastAsia="Calibri" w:hAnsi="Calibri"/>
          <w:b/>
          <w:bCs/>
          <w:sz w:val="21"/>
          <w:szCs w:val="21"/>
        </w:rPr>
        <w:t xml:space="preserve">[DATE]</w:t>
      </w:r>
      <w:r>
        <w:rPr>
          <w:rFonts w:ascii="Calibri" w:cs="Calibri" w:eastAsia="Calibri" w:hAnsi="Calibri"/>
          <w:sz w:val="21"/>
          <w:szCs w:val="21"/>
        </w:rPr>
        <w:t xml:space="preserve"> issued by </w:t>
      </w:r>
      <w:r>
        <w:rPr>
          <w:rFonts w:ascii="Calibri" w:cs="Calibri" w:eastAsia="Calibri" w:hAnsi="Calibri"/>
          <w:b/>
          <w:bCs/>
          <w:sz w:val="21"/>
          <w:szCs w:val="21"/>
        </w:rPr>
        <w:t xml:space="preserve">[NAME]</w:t>
      </w:r>
      <w:r>
        <w:rPr>
          <w:rFonts w:ascii="Calibri" w:cs="Calibri" w:eastAsia="Calibri" w:hAnsi="Calibri"/>
          <w:sz w:val="21"/>
          <w:szCs w:val="21"/>
        </w:rPr>
        <w:t xml:space="preserve">, a registered valuer bearing registration number </w:t>
      </w:r>
      <w:r>
        <w:rPr>
          <w:rFonts w:ascii="Calibri" w:cs="Calibri" w:eastAsia="Calibri" w:hAnsi="Calibri"/>
          <w:b/>
          <w:bCs/>
          <w:sz w:val="21"/>
          <w:szCs w:val="21"/>
        </w:rPr>
        <w:t xml:space="preserve">[NUMBER]</w:t>
      </w:r>
      <w:r>
        <w:rPr>
          <w:rFonts w:ascii="Calibri" w:cs="Calibri" w:eastAsia="Calibri" w:hAnsi="Calibri"/>
          <w:sz w:val="21"/>
          <w:szCs w:val="21"/>
        </w:rPr>
        <w:t xml:space="preserve">, supporting the issue price;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[where any allottee is a person resident outside India]</w:t>
      </w:r>
      <w:r>
        <w:rPr>
          <w:rFonts w:ascii="Calibri" w:cs="Calibri" w:eastAsia="Calibri" w:hAnsi="Calibri"/>
          <w:sz w:val="21"/>
          <w:szCs w:val="21"/>
        </w:rPr>
        <w:t xml:space="preserve"> the valuation certificate dated </w:t>
      </w:r>
      <w:r>
        <w:rPr>
          <w:rFonts w:ascii="Calibri" w:cs="Calibri" w:eastAsia="Calibri" w:hAnsi="Calibri"/>
          <w:b/>
          <w:bCs/>
          <w:sz w:val="21"/>
          <w:szCs w:val="21"/>
        </w:rPr>
        <w:t xml:space="preserve">[DATE]</w:t>
      </w:r>
      <w:r>
        <w:rPr>
          <w:rFonts w:ascii="Calibri" w:cs="Calibri" w:eastAsia="Calibri" w:hAnsi="Calibri"/>
          <w:sz w:val="21"/>
          <w:szCs w:val="21"/>
        </w:rPr>
        <w:t xml:space="preserve"> issued by </w:t>
      </w:r>
      <w:r>
        <w:rPr>
          <w:rFonts w:ascii="Calibri" w:cs="Calibri" w:eastAsia="Calibri" w:hAnsi="Calibri"/>
          <w:b/>
          <w:bCs/>
          <w:sz w:val="21"/>
          <w:szCs w:val="21"/>
        </w:rPr>
        <w:t xml:space="preserve">[NAME]</w:t>
      </w:r>
      <w:r>
        <w:rPr>
          <w:rFonts w:ascii="Calibri" w:cs="Calibri" w:eastAsia="Calibri" w:hAnsi="Calibri"/>
          <w:sz w:val="21"/>
          <w:szCs w:val="21"/>
        </w:rPr>
        <w:t xml:space="preserve"> in accordance with the pricing guidelines applicable to foreign investment, confirming that the issue price is not below the fair market value so determined;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record of the private placement offer made to the identified persons, together with the offer letters issued in the prescribed form and the record of the offer maintained by the Company;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applications received from the identified persons, together with the list of allottees at Annexure A;</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 statement from the bank confirming receipt of the aggregate subscription money of ₹ </w:t>
      </w:r>
      <w:r>
        <w:rPr>
          <w:rFonts w:ascii="Calibri" w:cs="Calibri" w:eastAsia="Calibri" w:hAnsi="Calibri"/>
          <w:b/>
          <w:bCs/>
          <w:sz w:val="21"/>
          <w:szCs w:val="21"/>
        </w:rPr>
        <w:t xml:space="preserve">[AMOUNT]</w:t>
      </w:r>
      <w:r>
        <w:rPr>
          <w:rFonts w:ascii="Calibri" w:cs="Calibri" w:eastAsia="Calibri" w:hAnsi="Calibri"/>
          <w:sz w:val="21"/>
          <w:szCs w:val="21"/>
        </w:rPr>
        <w:t xml:space="preserve"> in the separate bank account bearing number </w:t>
      </w:r>
      <w:r>
        <w:rPr>
          <w:rFonts w:ascii="Calibri" w:cs="Calibri" w:eastAsia="Calibri" w:hAnsi="Calibri"/>
          <w:b/>
          <w:bCs/>
          <w:sz w:val="21"/>
          <w:szCs w:val="21"/>
        </w:rPr>
        <w:t xml:space="preserve">[ACCOUNT NUMBER]</w:t>
      </w:r>
      <w:r>
        <w:rPr>
          <w:rFonts w:ascii="Calibri" w:cs="Calibri" w:eastAsia="Calibri" w:hAnsi="Calibri"/>
          <w:sz w:val="21"/>
          <w:szCs w:val="21"/>
        </w:rPr>
        <w:t xml:space="preserve"> maintained with </w:t>
      </w:r>
      <w:r>
        <w:rPr>
          <w:rFonts w:ascii="Calibri" w:cs="Calibri" w:eastAsia="Calibri" w:hAnsi="Calibri"/>
          <w:b/>
          <w:bCs/>
          <w:sz w:val="21"/>
          <w:szCs w:val="21"/>
        </w:rPr>
        <w:t xml:space="preserve">[BANK]</w:t>
      </w:r>
      <w:r>
        <w:rPr>
          <w:rFonts w:ascii="Calibri" w:cs="Calibri" w:eastAsia="Calibri" w:hAnsi="Calibri"/>
          <w:sz w:val="21"/>
          <w:szCs w:val="21"/>
        </w:rPr>
        <w:t xml:space="preserve"> for the purpose of this private placement, and confirming that no part of it has been utilised;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confirmation that no part of the subscription money has been received in cash, and that in each case the money has been received from the bank account of the person subscribing.</w:t>
      </w:r>
    </w:p>
    <w:p>
      <w:pPr>
        <w:spacing w:after="160" w:before="120" w:line="276"/>
        <w:jc w:val="both"/>
      </w:pPr>
      <w:r>
        <w:rPr>
          <w:rFonts w:ascii="Calibri" w:cs="Calibri" w:eastAsia="Calibri" w:hAnsi="Calibri"/>
          <w:sz w:val="21"/>
          <w:szCs w:val="21"/>
        </w:rPr>
        <w:t xml:space="preserve">The Chairperson further confirmed that the allotment was being made within the period permitted from the receipt of the subscription money, and that the securities being allotted were within the authorised share capital of the Company.</w:t>
      </w:r>
    </w:p>
    <w:p>
      <w:pPr>
        <w:keepNext/>
        <w:spacing w:after="120" w:before="280"/>
        <w:outlineLvl w:val="0"/>
      </w:pPr>
      <w:r>
        <w:rPr>
          <w:rFonts w:ascii="Calibri" w:cs="Calibri" w:eastAsia="Calibri" w:hAnsi="Calibri"/>
          <w:b/>
          <w:bCs/>
          <w:color w:val="14161B"/>
          <w:sz w:val="22"/>
          <w:szCs w:val="22"/>
        </w:rPr>
        <w:t xml:space="preserve">RESOLUTION</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pursuant to the special resolution passed by the members at the general meeting held on </w:t>
      </w:r>
      <w:r>
        <w:rPr>
          <w:rFonts w:ascii="Calibri" w:cs="Calibri" w:eastAsia="Calibri" w:hAnsi="Calibri"/>
          <w:b/>
          <w:bCs/>
          <w:sz w:val="21"/>
          <w:szCs w:val="21"/>
        </w:rPr>
        <w:t xml:space="preserve">[DATE]</w:t>
      </w:r>
      <w:r>
        <w:rPr>
          <w:rFonts w:ascii="Calibri" w:cs="Calibri" w:eastAsia="Calibri" w:hAnsi="Calibri"/>
          <w:sz w:val="21"/>
          <w:szCs w:val="21"/>
        </w:rPr>
        <w:t xml:space="preserve">, and on the basis of the applications received and the subscription money credited to the separate bank account of the Company,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[equity shares / compulsorily convertible preference shares]</w:t>
      </w:r>
      <w:r>
        <w:rPr>
          <w:rFonts w:ascii="Calibri" w:cs="Calibri" w:eastAsia="Calibri" w:hAnsi="Calibri"/>
          <w:sz w:val="21"/>
          <w:szCs w:val="21"/>
        </w:rPr>
        <w:t xml:space="preserve">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be and are hereby allotted at an issue price of ₹ </w:t>
      </w:r>
      <w:r>
        <w:rPr>
          <w:rFonts w:ascii="Calibri" w:cs="Calibri" w:eastAsia="Calibri" w:hAnsi="Calibri"/>
          <w:b/>
          <w:bCs/>
          <w:sz w:val="21"/>
          <w:szCs w:val="21"/>
        </w:rPr>
        <w:t xml:space="preserve">[PRICE]</w:t>
      </w:r>
      <w:r>
        <w:rPr>
          <w:rFonts w:ascii="Calibri" w:cs="Calibri" w:eastAsia="Calibri" w:hAnsi="Calibri"/>
          <w:sz w:val="21"/>
          <w:szCs w:val="21"/>
        </w:rPr>
        <w:t xml:space="preserve"> per security, comprising ₹ </w:t>
      </w:r>
      <w:r>
        <w:rPr>
          <w:rFonts w:ascii="Calibri" w:cs="Calibri" w:eastAsia="Calibri" w:hAnsi="Calibri"/>
          <w:b/>
          <w:bCs/>
          <w:sz w:val="21"/>
          <w:szCs w:val="21"/>
        </w:rPr>
        <w:t xml:space="preserve">[FV]</w:t>
      </w:r>
      <w:r>
        <w:rPr>
          <w:rFonts w:ascii="Calibri" w:cs="Calibri" w:eastAsia="Calibri" w:hAnsi="Calibri"/>
          <w:sz w:val="21"/>
          <w:szCs w:val="21"/>
        </w:rPr>
        <w:t xml:space="preserve"> towards face value and ₹ </w:t>
      </w:r>
      <w:r>
        <w:rPr>
          <w:rFonts w:ascii="Calibri" w:cs="Calibri" w:eastAsia="Calibri" w:hAnsi="Calibri"/>
          <w:b/>
          <w:bCs/>
          <w:sz w:val="21"/>
          <w:szCs w:val="21"/>
        </w:rPr>
        <w:t xml:space="preserve">[PREMIUM]</w:t>
      </w:r>
      <w:r>
        <w:rPr>
          <w:rFonts w:ascii="Calibri" w:cs="Calibri" w:eastAsia="Calibri" w:hAnsi="Calibri"/>
          <w:sz w:val="21"/>
          <w:szCs w:val="21"/>
        </w:rPr>
        <w:t xml:space="preserve"> towards securities premium, to the persons named in Annexure A, in the numbers set out against their respective names, credited as fully paid up.</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securities so allotted shall rank </w:t>
      </w:r>
      <w:r>
        <w:rPr>
          <w:rFonts w:ascii="Calibri" w:cs="Calibri" w:eastAsia="Calibri" w:hAnsi="Calibri"/>
          <w:b/>
          <w:bCs/>
          <w:sz w:val="21"/>
          <w:szCs w:val="21"/>
        </w:rPr>
        <w:t xml:space="preserve">[pari passu with the existing securities of the same class in all respects / with the rights, privileges and restrictions set out in the articles of association as amended on ______]</w:t>
      </w:r>
      <w:r>
        <w:rPr>
          <w:rFonts w:ascii="Calibri" w:cs="Calibri" w:eastAsia="Calibri" w:hAnsi="Calibri"/>
          <w:sz w:val="21"/>
          <w:szCs w:val="21"/>
        </w:rPr>
        <w:t xml:space="preserve">, and shall be entitled to dividend from the date of allotment.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name of each allottee be entered in the register of members </w:t>
      </w:r>
      <w:r>
        <w:rPr>
          <w:rFonts w:ascii="Calibri" w:cs="Calibri" w:eastAsia="Calibri" w:hAnsi="Calibri"/>
          <w:b/>
          <w:bCs/>
          <w:sz w:val="21"/>
          <w:szCs w:val="21"/>
        </w:rPr>
        <w:t xml:space="preserve">[and in the register of preference shareholders]</w:t>
      </w:r>
      <w:r>
        <w:rPr>
          <w:rFonts w:ascii="Calibri" w:cs="Calibri" w:eastAsia="Calibri" w:hAnsi="Calibri"/>
          <w:sz w:val="21"/>
          <w:szCs w:val="21"/>
        </w:rPr>
        <w:t xml:space="preserve"> of the Company as the holder of the securities allotted, and that the register be updated accordingly.</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share certificates in respect of the securities allotted be issued under the signature of </w:t>
      </w:r>
      <w:r>
        <w:rPr>
          <w:rFonts w:ascii="Calibri" w:cs="Calibri" w:eastAsia="Calibri" w:hAnsi="Calibri"/>
          <w:b/>
          <w:bCs/>
          <w:sz w:val="21"/>
          <w:szCs w:val="21"/>
        </w:rPr>
        <w:t xml:space="preserve">[any two directors / a director and the company secretary]</w:t>
      </w:r>
      <w:r>
        <w:rPr>
          <w:rFonts w:ascii="Calibri" w:cs="Calibri" w:eastAsia="Calibri" w:hAnsi="Calibri"/>
          <w:sz w:val="21"/>
          <w:szCs w:val="21"/>
        </w:rPr>
        <w:t xml:space="preserve"> of the Company, be duly stamped in accordance with the applicable stamp legislation, and be delivered to the allottees within the period prescribed, or, where the securities are held in dematerialised form, that the Company give the necessary corporate action instruction to the depository and the registrar and transfer agent for credit of the securities to the demat accounts of the allottees.</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subscription money lying in the separate bank account be transferred to the operating account of the Company only after the return of allotment has been filed with the Registrar of Companies, and that until then no part of it shall be utilised.</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company secretary or any director of the Company be and is hereby authorised to file the return of allotment with the Registrar of Companies in the prescribed form within the period prescribed, together with the list of allottees and the other documents required, to pay the prescribed fee, </w:t>
      </w:r>
      <w:r>
        <w:rPr>
          <w:rFonts w:ascii="Calibri" w:cs="Calibri" w:eastAsia="Calibri" w:hAnsi="Calibri"/>
          <w:b/>
          <w:bCs/>
          <w:sz w:val="21"/>
          <w:szCs w:val="21"/>
        </w:rPr>
        <w:t xml:space="preserve">[and, where any allottee is a person resident outside India, to make the reporting required under the applicable exchange control law with the authorised dealer bank within the period prescribed,]</w:t>
      </w:r>
      <w:r>
        <w:rPr>
          <w:rFonts w:ascii="Calibri" w:cs="Calibri" w:eastAsia="Calibri" w:hAnsi="Calibri"/>
          <w:sz w:val="21"/>
          <w:szCs w:val="21"/>
        </w:rPr>
        <w:t xml:space="preserve"> and to do all such acts as may be necessary to give effect to this resolution.</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List of Allottees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2105"/>
        <w:gridCol w:w="2406"/>
        <w:gridCol w:w="1203"/>
        <w:gridCol w:w="1503"/>
        <w:gridCol w:w="1353"/>
        <w:gridCol w:w="1203"/>
        <w:gridCol w:w="1503"/>
        <w:gridCol w:w="1353"/>
        <w:gridCol w:w="180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 of allottee</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Address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PAN</w:t>
            </w:r>
          </w:p>
        </w:tc>
        <w:tc>
          <w:tcPr>
            <w:tcW w:type="dxa" w:w="15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Residential status</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Securities allotted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Issue price (₹)</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Consideration (₹)</w:t>
            </w:r>
          </w:p>
        </w:tc>
        <w:tc>
          <w:tcPr>
            <w:tcW w:type="dxa" w:w="135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 money received</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Certificate / DP details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1</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[PAN]</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[Resident / Non-resident]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[CERT NO. / DP ID]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2</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[PAN]</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[Resident / Non-resident]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[CERT NO. / DP ID]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3</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[PAN]</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[Resident / Non-resident]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[CERT NO. / DP ID]</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6"/>
                <w:szCs w:val="16"/>
              </w:rPr>
              <w:t xml:space="preserve">4</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[PAN]</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[Resident / Non-resident]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[PRICE]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center"/>
            </w:pPr>
            <w:r>
              <w:rPr>
                <w:rFonts w:ascii="Calibri" w:cs="Calibri" w:eastAsia="Calibri" w:hAnsi="Calibri"/>
                <w:b/>
                <w:bCs/>
                <w:sz w:val="16"/>
                <w:szCs w:val="16"/>
              </w:rPr>
              <w:t xml:space="preserve">[DATE]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[CERT NO. / DP ID]</w:t>
            </w:r>
          </w:p>
        </w:tc>
      </w:tr>
      <w:tr>
        <w:tc>
          <w:tcPr>
            <w:tcW w:type="dxa" w:w="601"/>
            <w:tcMar>
              <w:top w:type="dxa" w:w="70"/>
              <w:left w:type="dxa" w:w="100"/>
              <w:bottom w:type="dxa" w:w="70"/>
              <w:right w:type="dxa" w:w="100"/>
            </w:tcMar>
            <w:vAlign w:val="center"/>
          </w:tcPr>
          <w:p>
            <w:pPr>
              <w:spacing w:after="0" w:line="240"/>
              <w:jc w:val="center"/>
            </w:pP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w:t>
            </w:r>
          </w:p>
        </w:tc>
        <w:tc>
          <w:tcPr>
            <w:tcW w:type="dxa" w:w="2406"/>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center"/>
            </w:pP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[NUMBER]</w:t>
            </w:r>
          </w:p>
        </w:tc>
        <w:tc>
          <w:tcPr>
            <w:tcW w:type="dxa" w:w="1203"/>
            <w:tcMar>
              <w:top w:type="dxa" w:w="70"/>
              <w:left w:type="dxa" w:w="100"/>
              <w:bottom w:type="dxa" w:w="70"/>
              <w:right w:type="dxa" w:w="100"/>
            </w:tcMar>
            <w:vAlign w:val="center"/>
          </w:tcPr>
          <w:p>
            <w:pPr>
              <w:spacing w:after="0" w:line="240"/>
              <w:jc w:val="right"/>
            </w:pP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6"/>
                <w:szCs w:val="16"/>
              </w:rPr>
              <w:t xml:space="preserve">[AMOUNT]</w:t>
            </w:r>
          </w:p>
        </w:tc>
        <w:tc>
          <w:tcPr>
            <w:tcW w:type="dxa" w:w="1353"/>
            <w:tcMar>
              <w:top w:type="dxa" w:w="70"/>
              <w:left w:type="dxa" w:w="100"/>
              <w:bottom w:type="dxa" w:w="70"/>
              <w:right w:type="dxa" w:w="100"/>
            </w:tcMar>
            <w:vAlign w:val="center"/>
          </w:tcPr>
          <w:p>
            <w:pPr>
              <w:spacing w:after="0" w:line="240"/>
              <w:jc w:val="center"/>
            </w:pPr>
          </w:p>
        </w:tc>
        <w:tc>
          <w:tcPr>
            <w:tcW w:type="dxa" w:w="1808"/>
            <w:tcMar>
              <w:top w:type="dxa" w:w="70"/>
              <w:left w:type="dxa" w:w="100"/>
              <w:bottom w:type="dxa" w:w="70"/>
              <w:right w:type="dxa" w:w="100"/>
            </w:tcMar>
            <w:vAlign w:val="center"/>
          </w:tcPr>
          <w:p>
            <w:pPr>
              <w:spacing w:after="0" w:line="240"/>
              <w:jc w:val="left"/>
            </w:pP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Capital Structure Before and After Allotment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308"/>
        <w:gridCol w:w="1804"/>
        <w:gridCol w:w="2105"/>
        <w:gridCol w:w="1804"/>
        <w:gridCol w:w="1804"/>
        <w:gridCol w:w="2105"/>
        <w:gridCol w:w="2108"/>
      </w:tblGrid>
      <w:tr>
        <w:trPr>
          <w:tblHeader/>
        </w:trPr>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Class</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Before — number</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Before — paid-up (₹)</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Allotted now</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After — number</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After — paid-up (₹)</w:t>
            </w:r>
          </w:p>
        </w:tc>
        <w:tc>
          <w:tcPr>
            <w:tcW w:type="dxa" w:w="210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Securities premium added (₹)</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Equity shares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[SERIES]</w:t>
            </w:r>
            <w:r>
              <w:rPr>
                <w:rFonts w:ascii="Calibri" w:cs="Calibri" w:eastAsia="Calibri" w:hAnsi="Calibri"/>
                <w:sz w:val="17"/>
                <w:szCs w:val="17"/>
              </w:rPr>
              <w:t xml:space="preserve"> CCPS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Authorised capital</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r>
      <w:tr>
        <w:tc>
          <w:tcPr>
            <w:tcW w:type="dxa" w:w="33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Headroom within authorised capital</w:t>
            </w:r>
          </w:p>
        </w:tc>
        <w:tc>
          <w:tcPr>
            <w:tcW w:type="dxa" w:w="1804"/>
            <w:tcMar>
              <w:top w:type="dxa" w:w="70"/>
              <w:left w:type="dxa" w:w="100"/>
              <w:bottom w:type="dxa" w:w="70"/>
              <w:right w:type="dxa" w:w="100"/>
            </w:tcMar>
            <w:vAlign w:val="center"/>
          </w:tcPr>
          <w:p>
            <w:pPr>
              <w:spacing w:after="0" w:line="240"/>
              <w:jc w:val="right"/>
            </w:pPr>
          </w:p>
        </w:tc>
        <w:tc>
          <w:tcPr>
            <w:tcW w:type="dxa" w:w="2105"/>
            <w:tcMar>
              <w:top w:type="dxa" w:w="70"/>
              <w:left w:type="dxa" w:w="100"/>
              <w:bottom w:type="dxa" w:w="70"/>
              <w:right w:type="dxa" w:w="100"/>
            </w:tcMar>
            <w:vAlign w:val="center"/>
          </w:tcPr>
          <w:p>
            <w:pPr>
              <w:spacing w:after="0" w:line="240"/>
              <w:jc w:val="right"/>
            </w:pPr>
          </w:p>
        </w:tc>
        <w:tc>
          <w:tcPr>
            <w:tcW w:type="dxa" w:w="1804"/>
            <w:tcMar>
              <w:top w:type="dxa" w:w="70"/>
              <w:left w:type="dxa" w:w="100"/>
              <w:bottom w:type="dxa" w:w="70"/>
              <w:right w:type="dxa" w:w="100"/>
            </w:tcMar>
            <w:vAlign w:val="center"/>
          </w:tcPr>
          <w:p>
            <w:pPr>
              <w:spacing w:after="0" w:line="240"/>
              <w:jc w:val="right"/>
            </w:pP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108"/>
            <w:tcMar>
              <w:top w:type="dxa" w:w="70"/>
              <w:left w:type="dxa" w:w="100"/>
              <w:bottom w:type="dxa" w:w="70"/>
              <w:right w:type="dxa" w:w="100"/>
            </w:tcMar>
            <w:vAlign w:val="center"/>
          </w:tcPr>
          <w:p>
            <w:pPr>
              <w:spacing w:after="0" w:line="240"/>
              <w:jc w:val="right"/>
            </w:pP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Private Placement Compliance Sequence</w:t>
      </w:r>
    </w:p>
    <w:p>
      <w:pPr>
        <w:spacing w:after="140" w:before="0" w:line="276"/>
        <w:jc w:val="both"/>
      </w:pPr>
      <w:r>
        <w:rPr>
          <w:rFonts w:ascii="Calibri" w:cs="Calibri" w:eastAsia="Calibri" w:hAnsi="Calibri"/>
          <w:i/>
          <w:iCs/>
          <w:sz w:val="21"/>
          <w:szCs w:val="21"/>
        </w:rPr>
        <w:t xml:space="preserve">Work down this list. Every step must be complete, in order, before the allotment resolution is passed. Record the date each step was completed — this annexure becomes the evidence in the next diligence.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433"/>
        <w:gridCol w:w="3180"/>
        <w:gridCol w:w="1544"/>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318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 requirement</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completed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approving the offer, the identified persons, the price and the valuation</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offer is made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report obtained from a registered valuer</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offer letter is issued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certificate under the exchange control pricing guidelines, where any offeree is a non-resident</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allotment; treat as stale after 90 days in practice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resolution of the members approving the private placement, with the explanatory statement</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offer is made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resolution filed with the Registrar in the prescribed form</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 from passing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Separate bank account opened for the subscription money</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money is received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Private placement offer letter issued in the prescribed form to the identified persons only</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After steps 1 to 6</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 of the private placement offer maintained in the prescribed form</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issue of the offer letter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Applications and subscription money received, from the applicant’s own bank account, not in cash</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offer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allotting the securities</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permitted from receipt of the money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of the allottees in the register of members</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allotment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Return of allotment filed with the Registrar, with the list of allottees</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 from allotment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certificates issued, duly stamped, or securities credited in dematerialised form</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 from allotment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Subscription money transferred out of the separate account</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Only after step 12</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Exchange control reporting made with the authorised dealer bank, where any allottee is a non-resident</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 from allotment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Capitalisation table, statutory registers and minute book updated</w:t>
            </w:r>
          </w:p>
        </w:tc>
        <w:tc>
          <w:tcPr>
            <w:tcW w:type="dxa" w:w="318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allotment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sequence is the compliance</w:t>
      </w:r>
    </w:p>
    <w:p>
      <w:pPr>
        <w:spacing w:after="60" w:line="264"/>
        <w:jc w:val="both"/>
      </w:pPr>
      <w:r>
        <w:rPr>
          <w:rFonts w:ascii="Calibri" w:cs="Calibri" w:eastAsia="Calibri" w:hAnsi="Calibri"/>
          <w:sz w:val="19"/>
          <w:szCs w:val="19"/>
        </w:rPr>
        <w:t xml:space="preserve">Almost every private placement defect found in diligence is a sequencing failure rather than a substantive one: the offer letter issued before the special resolution was passed, money received before the separate account was opened, or the allotment made before the shareholder approval was filed. None of these can be cured retrospectively. Annexure C exists to be worked down in order, with dates.</w:t>
      </w:r>
    </w:p>
    <w:p>
      <w:pPr>
        <w:keepNext/>
        <w:spacing w:after="40" w:before="140"/>
      </w:pPr>
      <w:r>
        <w:rPr>
          <w:rFonts w:ascii="Calibri" w:cs="Calibri" w:eastAsia="Calibri" w:hAnsi="Calibri"/>
          <w:b/>
          <w:bCs/>
          <w:color w:val="14161B"/>
          <w:sz w:val="20"/>
          <w:szCs w:val="20"/>
        </w:rPr>
        <w:t xml:space="preserve">The separate bank account is not optional</w:t>
      </w:r>
    </w:p>
    <w:p>
      <w:pPr>
        <w:spacing w:after="60" w:line="264"/>
        <w:jc w:val="both"/>
      </w:pPr>
      <w:r>
        <w:rPr>
          <w:rFonts w:ascii="Calibri" w:cs="Calibri" w:eastAsia="Calibri" w:hAnsi="Calibri"/>
          <w:sz w:val="19"/>
          <w:szCs w:val="19"/>
        </w:rPr>
        <w:t xml:space="preserve">Subscription money on a private placement must be received into a separate bank account maintained for the purpose and must not be utilised before allotment and the filing of the return of allotment. A company that receives the money into its operating account and spends it on payroll has a problem that no subsequent resolution fixes. Open the account before the offer letter goes out, and tell the bank what it is for.</w:t>
      </w:r>
    </w:p>
    <w:p>
      <w:pPr>
        <w:keepNext/>
        <w:spacing w:after="40" w:before="140"/>
      </w:pPr>
      <w:r>
        <w:rPr>
          <w:rFonts w:ascii="Calibri" w:cs="Calibri" w:eastAsia="Calibri" w:hAnsi="Calibri"/>
          <w:b/>
          <w:bCs/>
          <w:color w:val="14161B"/>
          <w:sz w:val="20"/>
          <w:szCs w:val="20"/>
        </w:rPr>
        <w:t xml:space="preserve">No cash, and from the subscriber’s own account</w:t>
      </w:r>
    </w:p>
    <w:p>
      <w:pPr>
        <w:spacing w:after="60" w:line="264"/>
        <w:jc w:val="both"/>
      </w:pPr>
      <w:r>
        <w:rPr>
          <w:rFonts w:ascii="Calibri" w:cs="Calibri" w:eastAsia="Calibri" w:hAnsi="Calibri"/>
          <w:sz w:val="19"/>
          <w:szCs w:val="19"/>
        </w:rPr>
        <w:t xml:space="preserve">The money must not be received in cash, and must come from the bank account of the person subscribing. Money routed from a third party — a founder paying on behalf of an angel, a parent company paying for a subsidiary — is a defect. Where a subscriber genuinely cannot pay from its own account, restructure the subscription rather than accepting the payment.</w:t>
      </w:r>
    </w:p>
    <w:p>
      <w:pPr>
        <w:keepNext/>
        <w:spacing w:after="40" w:before="140"/>
      </w:pPr>
      <w:r>
        <w:rPr>
          <w:rFonts w:ascii="Calibri" w:cs="Calibri" w:eastAsia="Calibri" w:hAnsi="Calibri"/>
          <w:b/>
          <w:bCs/>
          <w:color w:val="14161B"/>
          <w:sz w:val="20"/>
          <w:szCs w:val="20"/>
        </w:rPr>
        <w:t xml:space="preserve">Allot within the permitted period, or repay</w:t>
      </w:r>
    </w:p>
    <w:p>
      <w:pPr>
        <w:spacing w:after="60" w:line="264"/>
        <w:jc w:val="both"/>
      </w:pPr>
      <w:r>
        <w:rPr>
          <w:rFonts w:ascii="Calibri" w:cs="Calibri" w:eastAsia="Calibri" w:hAnsi="Calibri"/>
          <w:sz w:val="19"/>
          <w:szCs w:val="19"/>
        </w:rPr>
        <w:t xml:space="preserve">Securities must be allotted within the period permitted from receipt of the money. If they are not, the money must be repaid within the further period prescribed, and if it is not repaid within that period, interest runs from the expiry of the allotment period at the prescribed rate. Companies that hold money while negotiating documentation frequently cross this line without noticing.</w:t>
      </w:r>
    </w:p>
    <w:p>
      <w:pPr>
        <w:keepNext/>
        <w:spacing w:after="40" w:before="140"/>
      </w:pPr>
      <w:r>
        <w:rPr>
          <w:rFonts w:ascii="Calibri" w:cs="Calibri" w:eastAsia="Calibri" w:hAnsi="Calibri"/>
          <w:b/>
          <w:bCs/>
          <w:color w:val="14161B"/>
          <w:sz w:val="20"/>
          <w:szCs w:val="20"/>
        </w:rPr>
        <w:t xml:space="preserve">Identified persons only, and the record of the offer</w:t>
      </w:r>
    </w:p>
    <w:p>
      <w:pPr>
        <w:spacing w:after="60" w:line="264"/>
        <w:jc w:val="both"/>
      </w:pPr>
      <w:r>
        <w:rPr>
          <w:rFonts w:ascii="Calibri" w:cs="Calibri" w:eastAsia="Calibri" w:hAnsi="Calibri"/>
          <w:sz w:val="19"/>
          <w:szCs w:val="19"/>
        </w:rPr>
        <w:t xml:space="preserve">A private placement may be made only to persons identified in advance by the Board, and the Company must maintain a record of the offer in the prescribed form. An offer made generally, or to persons not previously identified, may be treated as a public offer, which is a far more serious matter. Name the offerees in the Board resolution at step 1.</w:t>
      </w:r>
    </w:p>
    <w:p>
      <w:pPr>
        <w:keepNext/>
        <w:spacing w:after="40" w:before="140"/>
      </w:pPr>
      <w:r>
        <w:rPr>
          <w:rFonts w:ascii="Calibri" w:cs="Calibri" w:eastAsia="Calibri" w:hAnsi="Calibri"/>
          <w:b/>
          <w:bCs/>
          <w:color w:val="14161B"/>
          <w:sz w:val="20"/>
          <w:szCs w:val="20"/>
        </w:rPr>
        <w:t xml:space="preserve">Two valuations where a non-resident subscribes</w:t>
      </w:r>
    </w:p>
    <w:p>
      <w:pPr>
        <w:spacing w:after="60" w:line="264"/>
        <w:jc w:val="both"/>
      </w:pPr>
      <w:r>
        <w:rPr>
          <w:rFonts w:ascii="Calibri" w:cs="Calibri" w:eastAsia="Calibri" w:hAnsi="Calibri"/>
          <w:sz w:val="19"/>
          <w:szCs w:val="19"/>
        </w:rPr>
        <w:t xml:space="preserve">A preferential allotment requires a valuation report from a registered valuer. Where any allottee is a person resident outside India, the exchange control pricing floor separately requires a valuation certified by a person qualified under those rules. These are different requirements with different qualified certifiers, and practice treats the exchange control certificate as stale after ninety days. Obtain both and time them so that both are current at allotment.</w:t>
      </w:r>
    </w:p>
    <w:p>
      <w:pPr>
        <w:keepNext/>
        <w:spacing w:after="40" w:before="140"/>
      </w:pPr>
      <w:r>
        <w:rPr>
          <w:rFonts w:ascii="Calibri" w:cs="Calibri" w:eastAsia="Calibri" w:hAnsi="Calibri"/>
          <w:b/>
          <w:bCs/>
          <w:color w:val="14161B"/>
          <w:sz w:val="20"/>
          <w:szCs w:val="20"/>
        </w:rPr>
        <w:t xml:space="preserve">Angel tax is no longer a constraint on the premium</w:t>
      </w:r>
    </w:p>
    <w:p>
      <w:pPr>
        <w:spacing w:after="60" w:line="264"/>
        <w:jc w:val="both"/>
      </w:pPr>
      <w:r>
        <w:rPr>
          <w:rFonts w:ascii="Calibri" w:cs="Calibri" w:eastAsia="Calibri" w:hAnsi="Calibri"/>
          <w:sz w:val="19"/>
          <w:szCs w:val="19"/>
        </w:rPr>
        <w:t xml:space="preserve">The provision charging a company to tax on the excess of the issue price over fair market value was omitted with effect from assessment year 2025-26 and has not been re-enacted. The Company may issue at any premium without that charge arising. The company law valuation requirement and the exchange control floor are unaffected.</w:t>
      </w:r>
    </w:p>
    <w:p>
      <w:pPr>
        <w:keepNext/>
        <w:spacing w:after="40" w:before="140"/>
      </w:pPr>
      <w:r>
        <w:rPr>
          <w:rFonts w:ascii="Calibri" w:cs="Calibri" w:eastAsia="Calibri" w:hAnsi="Calibri"/>
          <w:b/>
          <w:bCs/>
          <w:color w:val="14161B"/>
          <w:sz w:val="20"/>
          <w:szCs w:val="20"/>
        </w:rPr>
        <w:t xml:space="preserve">Stamp the certificates</w:t>
      </w:r>
    </w:p>
    <w:p>
      <w:pPr>
        <w:spacing w:after="60" w:line="264"/>
        <w:jc w:val="both"/>
      </w:pPr>
      <w:r>
        <w:rPr>
          <w:rFonts w:ascii="Calibri" w:cs="Calibri" w:eastAsia="Calibri" w:hAnsi="Calibri"/>
          <w:sz w:val="19"/>
          <w:szCs w:val="19"/>
        </w:rPr>
        <w:t xml:space="preserve">Share certificates attract stamp duty, payable within the period prescribed from issue. Where the securities are dematerialised, duty is collected through the depository or the registrar and transfer agent. Unstamped share certificates are among the most common diligence findings, are inadmissible in evidence until duty and penalty are paid, and cost far more to fix later than to do correctly at issue.</w:t>
      </w:r>
    </w:p>
    <w:p>
      <w:pPr>
        <w:keepNext/>
        <w:spacing w:after="40" w:before="140"/>
      </w:pPr>
      <w:r>
        <w:rPr>
          <w:rFonts w:ascii="Calibri" w:cs="Calibri" w:eastAsia="Calibri" w:hAnsi="Calibri"/>
          <w:b/>
          <w:bCs/>
          <w:color w:val="14161B"/>
          <w:sz w:val="20"/>
          <w:szCs w:val="20"/>
        </w:rPr>
        <w:t xml:space="preserve">Check the authorised capital first</w:t>
      </w:r>
    </w:p>
    <w:p>
      <w:pPr>
        <w:spacing w:after="60" w:line="264"/>
        <w:jc w:val="both"/>
      </w:pPr>
      <w:r>
        <w:rPr>
          <w:rFonts w:ascii="Calibri" w:cs="Calibri" w:eastAsia="Calibri" w:hAnsi="Calibri"/>
          <w:sz w:val="19"/>
          <w:szCs w:val="19"/>
        </w:rPr>
        <w:t xml:space="preserve">Annexure B includes a headroom line for a reason. An allotment exceeding the authorised share capital is void, and increasing the authorised capital requires its own shareholder resolution, its own filing and its own fee. Confirm headroom before the offer letter is issued, not at the allotment meeting.</w:t>
      </w:r>
    </w:p>
    <w:p>
      <w:pPr>
        <w:keepNext/>
        <w:spacing w:after="40" w:before="140"/>
      </w:pPr>
      <w:r>
        <w:rPr>
          <w:rFonts w:ascii="Calibri" w:cs="Calibri" w:eastAsia="Calibri" w:hAnsi="Calibri"/>
          <w:b/>
          <w:bCs/>
          <w:color w:val="14161B"/>
          <w:sz w:val="20"/>
          <w:szCs w:val="20"/>
        </w:rPr>
        <w:t xml:space="preserve">Exchange control reporting</w:t>
      </w:r>
    </w:p>
    <w:p>
      <w:pPr>
        <w:spacing w:after="60" w:line="264"/>
        <w:jc w:val="both"/>
      </w:pPr>
      <w:r>
        <w:rPr>
          <w:rFonts w:ascii="Calibri" w:cs="Calibri" w:eastAsia="Calibri" w:hAnsi="Calibri"/>
          <w:sz w:val="19"/>
          <w:szCs w:val="19"/>
        </w:rPr>
        <w:t xml:space="preserve">Where any allottee is a person resident outside India, the issue must be reported to the authorised dealer bank within the period prescribed. Late reporting attracts a late submission fee, and unreported foreign investment is a contravention requiring compounding, which delays every subsequent round. File on the day of allotment if possible; do not wait for the certificates.</w:t>
      </w:r>
    </w:p>
    <w:p>
      <w:pPr>
        <w:keepNext/>
        <w:spacing w:after="40" w:before="140"/>
      </w:pPr>
      <w:r>
        <w:rPr>
          <w:rFonts w:ascii="Calibri" w:cs="Calibri" w:eastAsia="Calibri" w:hAnsi="Calibri"/>
          <w:b/>
          <w:bCs/>
          <w:color w:val="14161B"/>
          <w:sz w:val="20"/>
          <w:szCs w:val="20"/>
        </w:rPr>
        <w:t xml:space="preserve">Update the registers on the same day</w:t>
      </w:r>
    </w:p>
    <w:p>
      <w:pPr>
        <w:spacing w:after="60" w:line="264"/>
        <w:jc w:val="both"/>
      </w:pPr>
      <w:r>
        <w:rPr>
          <w:rFonts w:ascii="Calibri" w:cs="Calibri" w:eastAsia="Calibri" w:hAnsi="Calibri"/>
          <w:sz w:val="19"/>
          <w:szCs w:val="19"/>
        </w:rPr>
        <w:t xml:space="preserve">The register of members, the register of preference shareholders where applicable, the certificate register, the capitalisation table and the minute book should all be updated on the date of allotment. A company that updates them quarterly finds that the three records disagree, which is exactly the reconciliation failure that stalls the next round.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Forms, timelines, fees and the applicable stamp rates change — confirm each with a company secretary before the offer is made, and again before allotment.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2026-08-21T12:53:53.874Z</dcterms:created>
  <dcterms:modified xsi:type="dcterms:W3CDTF">2026-08-21T12:53:53.874Z</dcterms:modified>
</cp:coreProperties>
</file>

<file path=docProps/custom.xml><?xml version="1.0" encoding="utf-8"?>
<Properties xmlns="http://schemas.openxmlformats.org/officeDocument/2006/custom-properties" xmlns:vt="http://schemas.openxmlformats.org/officeDocument/2006/docPropsVTypes"/>
</file>