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BILL OF SUPPLY</w:t>
      </w:r>
    </w:p>
    <w:p>
      <w:pPr>
        <w:spacing w:after="260"/>
        <w:jc w:val="center"/>
      </w:pPr>
      <w:r>
        <w:rPr>
          <w:rFonts w:ascii="Calibri" w:cs="Calibri" w:eastAsia="Calibri" w:hAnsi="Calibri"/>
          <w:i/>
          <w:iCs/>
          <w:color w:val="6E7480"/>
          <w:sz w:val="19"/>
          <w:szCs w:val="19"/>
        </w:rPr>
        <w:t xml:space="preserve">For exempt supplies and for a supplier paying tax under the composition scheme</w:t>
      </w:r>
    </w:p>
    <w:p>
      <w:pPr>
        <w:spacing w:after="180" w:before="0" w:line="276"/>
        <w:jc w:val="both"/>
      </w:pPr>
      <w:r>
        <w:rPr>
          <w:rFonts w:ascii="Calibri" w:cs="Calibri" w:eastAsia="Calibri" w:hAnsi="Calibri"/>
          <w:i/>
          <w:iCs/>
          <w:color w:val="6E7480"/>
          <w:sz w:val="21"/>
          <w:szCs w:val="21"/>
        </w:rPr>
        <w:t xml:space="preserve">A bill of supply is issued where no tax is charged — because the supply is exempt, nil-rated or non-taxable, or because the supplier is under the composition scheme. It must not show tax, and the recipient cannot claim credit against it. Issuing a tax invoice where a bill of supply is required, or the reverse, is the error to avoid.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Supplier</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Legal name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Trade name, where different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[TRADE NAME]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GSTIN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[GSTIN]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of the place of business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 ADDRESS]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State and State code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w:t>
            </w:r>
            <w:r>
              <w:rPr>
                <w:rFonts w:ascii="Calibri" w:cs="Calibri" w:eastAsia="Calibri" w:hAnsi="Calibri"/>
                <w:sz w:val="19"/>
                <w:szCs w:val="19"/>
              </w:rPr>
              <w:t xml:space="preserve"> — </w:t>
            </w:r>
            <w:r>
              <w:rPr>
                <w:rFonts w:ascii="Calibri" w:cs="Calibri" w:eastAsia="Calibri" w:hAnsi="Calibri"/>
                <w:b/>
                <w:bCs/>
                <w:sz w:val="19"/>
                <w:szCs w:val="19"/>
              </w:rPr>
              <w:t xml:space="preserve">[CODE]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Basis on which a bill of supply is issued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[Supply is exempt, nil-rated or non-taxable / Supplier is registered under the composition scheme]</w:t>
            </w:r>
          </w:p>
        </w:tc>
      </w:tr>
    </w:tbl>
    <w:p>
      <w:pPr>
        <w:spacing w:after="14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Document</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Bill of supply number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[SERIAL]</w:t>
            </w:r>
            <w:r>
              <w:rPr>
                <w:rFonts w:ascii="Calibri" w:cs="Calibri" w:eastAsia="Calibri" w:hAnsi="Calibri"/>
                <w:sz w:val="19"/>
                <w:szCs w:val="19"/>
              </w:rPr>
              <w:t xml:space="preserve"> </w:t>
            </w:r>
            <w:r>
              <w:rPr>
                <w:rFonts w:ascii="Calibri" w:cs="Calibri" w:eastAsia="Calibri" w:hAnsi="Calibri"/>
                <w:i/>
                <w:iCs/>
                <w:sz w:val="19"/>
                <w:szCs w:val="19"/>
              </w:rPr>
              <w:t xml:space="preserve">(consecutive, unique for the financial year)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 of supply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w:t>
            </w:r>
            <w:r>
              <w:rPr>
                <w:rFonts w:ascii="Calibri" w:cs="Calibri" w:eastAsia="Calibri" w:hAnsi="Calibri"/>
                <w:sz w:val="19"/>
                <w:szCs w:val="19"/>
              </w:rPr>
              <w:t xml:space="preserve"> — </w:t>
            </w:r>
            <w:r>
              <w:rPr>
                <w:rFonts w:ascii="Calibri" w:cs="Calibri" w:eastAsia="Calibri" w:hAnsi="Calibri"/>
                <w:b/>
                <w:bCs/>
                <w:sz w:val="19"/>
                <w:szCs w:val="19"/>
              </w:rPr>
              <w:t xml:space="preserve">[CODE]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Purchase order reference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[PO NUMBER AND 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Currency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[INR]</w:t>
            </w:r>
          </w:p>
        </w:tc>
      </w:tr>
    </w:tbl>
    <w:p>
      <w:pPr>
        <w:spacing w:after="14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Recipient</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[CUSTOMER NAME]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 ADDRESS]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GSTIN, where registered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[GSTIN]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State and code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w:t>
            </w:r>
            <w:r>
              <w:rPr>
                <w:rFonts w:ascii="Calibri" w:cs="Calibri" w:eastAsia="Calibri" w:hAnsi="Calibri"/>
                <w:b/>
                <w:bCs/>
                <w:sz w:val="19"/>
                <w:szCs w:val="19"/>
              </w:rPr>
              <w:t xml:space="preserve"> — </w:t>
            </w:r>
            <w:r>
              <w:rPr>
                <w:rFonts w:ascii="Calibri" w:cs="Calibri" w:eastAsia="Calibri" w:hAnsi="Calibri"/>
                <w:b/>
                <w:bCs/>
                <w:sz w:val="19"/>
                <w:szCs w:val="19"/>
              </w:rPr>
              <w:t xml:space="preserve">[CODE]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registered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bl>
    <w:p>
      <w:pPr>
        <w:spacing w:after="160"/>
      </w:pPr>
    </w:p>
    <w:p>
      <w:pPr>
        <w:keepNext/>
        <w:spacing w:after="120" w:before="280"/>
        <w:outlineLvl w:val="0"/>
      </w:pPr>
      <w:r>
        <w:rPr>
          <w:rFonts w:ascii="Calibri" w:cs="Calibri" w:eastAsia="Calibri" w:hAnsi="Calibri"/>
          <w:b/>
          <w:bCs/>
          <w:color w:val="14161B"/>
          <w:sz w:val="22"/>
          <w:szCs w:val="22"/>
        </w:rPr>
        <w:t xml:space="preserve">PARTICULARS OF SUPPLY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891"/>
        <w:gridCol w:w="963"/>
        <w:gridCol w:w="674"/>
        <w:gridCol w:w="674"/>
        <w:gridCol w:w="963"/>
        <w:gridCol w:w="1060"/>
        <w:gridCol w:w="963"/>
        <w:gridCol w:w="1065"/>
      </w:tblGrid>
      <w:tr>
        <w:trPr>
          <w:tblHeader/>
        </w:trPr>
        <w:tc>
          <w:tcPr>
            <w:tcW w:type="dxa" w:w="385"/>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 of goods or services</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HSN or SAC</w:t>
            </w:r>
          </w:p>
        </w:tc>
        <w:tc>
          <w:tcPr>
            <w:tcW w:type="dxa" w:w="67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Qty</w:t>
            </w:r>
          </w:p>
        </w:tc>
        <w:tc>
          <w:tcPr>
            <w:tcW w:type="dxa" w:w="67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Unit</w:t>
            </w:r>
          </w:p>
        </w:tc>
        <w:tc>
          <w:tcPr>
            <w:tcW w:type="dxa" w:w="96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Rate (₹)</w:t>
            </w:r>
          </w:p>
        </w:tc>
        <w:tc>
          <w:tcPr>
            <w:tcW w:type="dxa" w:w="106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w:t>
            </w:r>
          </w:p>
        </w:tc>
        <w:tc>
          <w:tcPr>
            <w:tcW w:type="dxa" w:w="96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Discount (₹)</w:t>
            </w:r>
          </w:p>
        </w:tc>
        <w:tc>
          <w:tcPr>
            <w:tcW w:type="dxa" w:w="106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Value (₹)</w:t>
            </w:r>
          </w:p>
        </w:tc>
      </w:tr>
      <w:tr>
        <w:tc>
          <w:tcPr>
            <w:tcW w:type="dxa" w:w="38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[CODE]</w:t>
            </w:r>
          </w:p>
        </w:tc>
        <w:tc>
          <w:tcPr>
            <w:tcW w:type="dxa" w:w="67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[QTY]</w:t>
            </w:r>
          </w:p>
        </w:tc>
        <w:tc>
          <w:tcPr>
            <w:tcW w:type="dxa" w:w="674"/>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[UOM]</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[RATE]</w:t>
            </w:r>
          </w:p>
        </w:tc>
        <w:tc>
          <w:tcPr>
            <w:tcW w:type="dxa" w:w="106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06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8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[CODE]</w:t>
            </w:r>
          </w:p>
        </w:tc>
        <w:tc>
          <w:tcPr>
            <w:tcW w:type="dxa" w:w="67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[QTY]</w:t>
            </w:r>
          </w:p>
        </w:tc>
        <w:tc>
          <w:tcPr>
            <w:tcW w:type="dxa" w:w="674"/>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[UOM]</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[RATE]</w:t>
            </w:r>
          </w:p>
        </w:tc>
        <w:tc>
          <w:tcPr>
            <w:tcW w:type="dxa" w:w="106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06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8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[CODE]</w:t>
            </w:r>
          </w:p>
        </w:tc>
        <w:tc>
          <w:tcPr>
            <w:tcW w:type="dxa" w:w="67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[QTY]</w:t>
            </w:r>
          </w:p>
        </w:tc>
        <w:tc>
          <w:tcPr>
            <w:tcW w:type="dxa" w:w="674"/>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[UOM]</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[RATE]</w:t>
            </w:r>
          </w:p>
        </w:tc>
        <w:tc>
          <w:tcPr>
            <w:tcW w:type="dxa" w:w="106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06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85"/>
            <w:tcMar>
              <w:top w:type="dxa" w:w="70"/>
              <w:left w:type="dxa" w:w="100"/>
              <w:bottom w:type="dxa" w:w="70"/>
              <w:right w:type="dxa" w:w="100"/>
            </w:tcMar>
            <w:vAlign w:val="center"/>
          </w:tcPr>
          <w:p>
            <w:pPr>
              <w:spacing w:after="0" w:line="240"/>
              <w:jc w:val="center"/>
            </w:pP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963"/>
            <w:tcMar>
              <w:top w:type="dxa" w:w="70"/>
              <w:left w:type="dxa" w:w="100"/>
              <w:bottom w:type="dxa" w:w="70"/>
              <w:right w:type="dxa" w:w="100"/>
            </w:tcMar>
            <w:vAlign w:val="center"/>
          </w:tcPr>
          <w:p>
            <w:pPr>
              <w:spacing w:after="0" w:line="240"/>
              <w:jc w:val="left"/>
            </w:pPr>
          </w:p>
        </w:tc>
        <w:tc>
          <w:tcPr>
            <w:tcW w:type="dxa" w:w="674"/>
            <w:tcMar>
              <w:top w:type="dxa" w:w="70"/>
              <w:left w:type="dxa" w:w="100"/>
              <w:bottom w:type="dxa" w:w="70"/>
              <w:right w:type="dxa" w:w="100"/>
            </w:tcMar>
            <w:vAlign w:val="center"/>
          </w:tcPr>
          <w:p>
            <w:pPr>
              <w:spacing w:after="0" w:line="240"/>
              <w:jc w:val="right"/>
            </w:pPr>
          </w:p>
        </w:tc>
        <w:tc>
          <w:tcPr>
            <w:tcW w:type="dxa" w:w="674"/>
            <w:tcMar>
              <w:top w:type="dxa" w:w="70"/>
              <w:left w:type="dxa" w:w="100"/>
              <w:bottom w:type="dxa" w:w="70"/>
              <w:right w:type="dxa" w:w="100"/>
            </w:tcMar>
            <w:vAlign w:val="center"/>
          </w:tcPr>
          <w:p>
            <w:pPr>
              <w:spacing w:after="0" w:line="240"/>
              <w:jc w:val="center"/>
            </w:pPr>
          </w:p>
        </w:tc>
        <w:tc>
          <w:tcPr>
            <w:tcW w:type="dxa" w:w="963"/>
            <w:tcMar>
              <w:top w:type="dxa" w:w="70"/>
              <w:left w:type="dxa" w:w="100"/>
              <w:bottom w:type="dxa" w:w="70"/>
              <w:right w:type="dxa" w:w="100"/>
            </w:tcMar>
            <w:vAlign w:val="center"/>
          </w:tcPr>
          <w:p>
            <w:pPr>
              <w:spacing w:after="0" w:line="240"/>
              <w:jc w:val="right"/>
            </w:pPr>
          </w:p>
        </w:tc>
        <w:tc>
          <w:tcPr>
            <w:tcW w:type="dxa" w:w="106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06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bl>
    <w:p>
      <w:pPr>
        <w:spacing w:after="14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397"/>
        <w:gridCol w:w="4241"/>
      </w:tblGrid>
      <w:tr>
        <w:trPr>
          <w:tblHeader/>
        </w:trPr>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Summary</w:t>
            </w:r>
          </w:p>
        </w:tc>
        <w:tc>
          <w:tcPr>
            <w:tcW w:type="dxa" w:w="4241"/>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value of supply</w:t>
            </w:r>
          </w:p>
        </w:tc>
        <w:tc>
          <w:tcPr>
            <w:tcW w:type="dxa" w:w="4241"/>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Rounding off</w:t>
            </w:r>
          </w:p>
        </w:tc>
        <w:tc>
          <w:tcPr>
            <w:tcW w:type="dxa" w:w="4241"/>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w:t>
            </w:r>
          </w:p>
        </w:tc>
        <w:tc>
          <w:tcPr>
            <w:tcW w:type="dxa" w:w="4241"/>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in words</w:t>
            </w:r>
          </w:p>
        </w:tc>
        <w:tc>
          <w:tcPr>
            <w:tcW w:type="dxa" w:w="4241"/>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Rupees </w:t>
            </w:r>
            <w:r>
              <w:rPr>
                <w:rFonts w:ascii="Calibri" w:cs="Calibri" w:eastAsia="Calibri" w:hAnsi="Calibri"/>
                <w:b/>
                <w:bCs/>
                <w:sz w:val="19"/>
                <w:szCs w:val="19"/>
              </w:rPr>
              <w:t xml:space="preserve">[IN WORDS]</w:t>
            </w:r>
            <w:r>
              <w:rPr>
                <w:rFonts w:ascii="Calibri" w:cs="Calibri" w:eastAsia="Calibri" w:hAnsi="Calibri"/>
                <w:b/>
                <w:bCs/>
                <w:sz w:val="19"/>
                <w:szCs w:val="19"/>
              </w:rPr>
              <w:t xml:space="preserve"> only</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Tax charged</w:t>
            </w:r>
          </w:p>
        </w:tc>
        <w:tc>
          <w:tcPr>
            <w:tcW w:type="dxa" w:w="4241"/>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Nil — no tax is charged on this document</w:t>
            </w:r>
          </w:p>
        </w:tc>
      </w:tr>
    </w:tbl>
    <w:p>
      <w:pPr>
        <w:spacing w:after="160"/>
      </w:pPr>
    </w:p>
    <w:p>
      <w:pPr>
        <w:keepNext/>
        <w:spacing w:after="120" w:before="280"/>
        <w:outlineLvl w:val="0"/>
      </w:pPr>
      <w:r>
        <w:rPr>
          <w:rFonts w:ascii="Calibri" w:cs="Calibri" w:eastAsia="Calibri" w:hAnsi="Calibri"/>
          <w:b/>
          <w:bCs/>
          <w:color w:val="14161B"/>
          <w:sz w:val="22"/>
          <w:szCs w:val="22"/>
        </w:rPr>
        <w:t xml:space="preserve">MANDATORY DECLARATION</w:t>
      </w:r>
    </w:p>
    <w:p>
      <w:pPr>
        <w:spacing w:after="120" w:before="0" w:line="276"/>
        <w:jc w:val="both"/>
      </w:pPr>
      <w:r>
        <w:rPr>
          <w:rFonts w:ascii="Calibri" w:cs="Calibri" w:eastAsia="Calibri" w:hAnsi="Calibri"/>
          <w:i/>
          <w:iCs/>
          <w:sz w:val="21"/>
          <w:szCs w:val="21"/>
        </w:rPr>
        <w:t xml:space="preserve">One of the following must appear on the face of the document. Delete the one that does not apply.</w:t>
      </w:r>
    </w:p>
    <w:p>
      <w:pPr>
        <w:spacing w:after="80" w:before="0" w:line="276"/>
        <w:jc w:val="both"/>
      </w:pPr>
      <w:r>
        <w:rPr>
          <w:rFonts w:ascii="Calibri" w:cs="Calibri" w:eastAsia="Calibri" w:hAnsi="Calibri"/>
          <w:b/>
          <w:bCs/>
          <w:sz w:val="21"/>
          <w:szCs w:val="21"/>
        </w:rPr>
        <w:t xml:space="preserve">Where the supply is exempt, nil-rated or non-taxable:</w:t>
      </w:r>
    </w:p>
    <w:p>
      <w:pPr>
        <w:spacing w:after="140" w:before="0" w:line="276"/>
        <w:jc w:val="both"/>
      </w:pPr>
      <w:r>
        <w:rPr>
          <w:rFonts w:ascii="Calibri" w:cs="Calibri" w:eastAsia="Calibri" w:hAnsi="Calibri"/>
          <w:sz w:val="21"/>
          <w:szCs w:val="21"/>
        </w:rPr>
        <w:t xml:space="preserve">"</w:t>
      </w:r>
      <w:r>
        <w:rPr>
          <w:rFonts w:ascii="Calibri" w:cs="Calibri" w:eastAsia="Calibri" w:hAnsi="Calibri"/>
          <w:b/>
          <w:bCs/>
          <w:sz w:val="21"/>
          <w:szCs w:val="21"/>
        </w:rPr>
        <w:t xml:space="preserve">The supplies covered by this bill of supply are exempt, nil-rated or non-taxable, and no tax is charged. Input tax credit is not available to the recipient against this document.</w:t>
      </w:r>
      <w:r>
        <w:rPr>
          <w:rFonts w:ascii="Calibri" w:cs="Calibri" w:eastAsia="Calibri" w:hAnsi="Calibri"/>
          <w:sz w:val="21"/>
          <w:szCs w:val="21"/>
        </w:rPr>
        <w:t xml:space="preserve">"</w:t>
      </w:r>
    </w:p>
    <w:p>
      <w:pPr>
        <w:spacing w:after="80" w:before="0" w:line="276"/>
        <w:jc w:val="both"/>
      </w:pPr>
      <w:r>
        <w:rPr>
          <w:rFonts w:ascii="Calibri" w:cs="Calibri" w:eastAsia="Calibri" w:hAnsi="Calibri"/>
          <w:b/>
          <w:bCs/>
          <w:sz w:val="21"/>
          <w:szCs w:val="21"/>
        </w:rPr>
        <w:t xml:space="preserve">Where the supplier is registered under the composition scheme:</w:t>
      </w:r>
    </w:p>
    <w:p>
      <w:pPr>
        <w:spacing w:after="160" w:before="0" w:line="276"/>
        <w:jc w:val="both"/>
      </w:pPr>
      <w:r>
        <w:rPr>
          <w:rFonts w:ascii="Calibri" w:cs="Calibri" w:eastAsia="Calibri" w:hAnsi="Calibri"/>
          <w:sz w:val="21"/>
          <w:szCs w:val="21"/>
        </w:rPr>
        <w:t xml:space="preserve">"</w:t>
      </w:r>
      <w:r>
        <w:rPr>
          <w:rFonts w:ascii="Calibri" w:cs="Calibri" w:eastAsia="Calibri" w:hAnsi="Calibri"/>
          <w:b/>
          <w:bCs/>
          <w:sz w:val="21"/>
          <w:szCs w:val="21"/>
        </w:rPr>
        <w:t xml:space="preserve">Composition taxable person, not eligible to collect tax on supplies.</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BANK DETAILS AND TERMS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047"/>
        <w:gridCol w:w="5591"/>
      </w:tblGrid>
      <w:tr>
        <w:trPr>
          <w:tblHeader/>
        </w:trPr>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5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account name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 number</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and branch</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BRANCH]</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IFSC</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[CODE]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Payment terms</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[DAYS]</w:t>
            </w:r>
            <w:r>
              <w:rPr>
                <w:rFonts w:ascii="Calibri" w:cs="Calibri" w:eastAsia="Calibri" w:hAnsi="Calibri"/>
                <w:sz w:val="19"/>
                <w:szCs w:val="19"/>
              </w:rPr>
              <w:t xml:space="preserve"> days from the date of this document</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Micro or small enterprise registration, where applicable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bl>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i/>
                <w:iCs/>
                <w:sz w:val="21"/>
                <w:szCs w:val="21"/>
              </w:rPr>
              <w:t xml:space="preserve">Computer-generated document; no physical signature is required where issued electronically with a valid digital signature.</w:t>
            </w:r>
          </w:p>
          <w:p>
            <w:pPr>
              <w:spacing w:after="90" w:line="264"/>
            </w:pPr>
          </w:p>
          <w:p>
            <w:pPr>
              <w:spacing w:after="90" w:line="264"/>
            </w:pPr>
          </w:p>
          <w:p>
            <w:pPr>
              <w:spacing w:after="90" w:line="264"/>
            </w:pPr>
          </w:p>
          <w:p>
            <w:pPr>
              <w:spacing w:after="90" w:line="264"/>
            </w:pPr>
          </w:p>
          <w:p>
            <w:pPr>
              <w:spacing w:after="90" w:line="264"/>
            </w:pPr>
          </w:p>
        </w:tc>
      </w:tr>
    </w:tbl>
    <w:p>
      <w:pPr>
        <w:spacing w:after="0" w:before="0" w:line="1"/>
      </w:pPr>
      <w:r>
        <w:br w:type="page"/>
      </w:r>
    </w:p>
    <w:p>
      <w:pPr>
        <w:spacing w:after="240" w:before="240"/>
        <w:jc w:val="center"/>
      </w:pPr>
      <w:r>
        <w:rPr>
          <w:rFonts w:ascii="Calibri" w:cs="Calibri" w:eastAsia="Calibri" w:hAnsi="Calibri"/>
          <w:b/>
          <w:bCs/>
          <w:color w:val="14161B"/>
          <w:spacing w:val="12"/>
          <w:sz w:val="28"/>
          <w:szCs w:val="28"/>
        </w:rPr>
        <w:t xml:space="preserve">WHICH DOCUMENT TO ISSUE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2505"/>
        <w:gridCol w:w="1542"/>
        <w:gridCol w:w="1736"/>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Situation</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Document</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Tax shown</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Credit to recipient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Taxable supply by a registered supplier under the normal scheme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Tax invoice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Yes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Supply that is exempt, nil-rated or non-taxable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Bill of supply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available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Supplier registered under the composition scheme, any supply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Bill of supply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available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Invoice containing both taxable and exempt supplies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Tax invoice</w:t>
            </w:r>
            <w:r>
              <w:rPr>
                <w:rFonts w:ascii="Calibri" w:cs="Calibri" w:eastAsia="Calibri" w:hAnsi="Calibri"/>
                <w:sz w:val="18"/>
                <w:szCs w:val="18"/>
              </w:rPr>
              <w:t xml:space="preserve"> covering both, with exempt lines shown at nil</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Yes, on taxable lines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taxable lines only</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Advance received against a future supply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Receipt voucher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Yes, where applicable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until the supply</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Advance refunded and no supply made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Refund voucher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Adjusted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Supply on which the recipient pays tax on reverse charge, from an unregistered supplier</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Self-invoice by the recipient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Yes, by the recipient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 to the recipient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Reduction in value or tax after issue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Credit note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Adjusted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Recipient reverses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Increase in value or tax after issue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Debit note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Additional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Additional available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Movement of goods without a supply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Delivery challan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applicable</w:t>
            </w:r>
          </w:p>
        </w:tc>
      </w:tr>
    </w:tbl>
    <w:p>
      <w:pPr>
        <w:spacing w:after="160"/>
      </w:pPr>
    </w:p>
    <w:p>
      <w:pPr>
        <w:spacing w:after="240" w:before="240"/>
        <w:jc w:val="center"/>
      </w:pPr>
      <w:r>
        <w:rPr>
          <w:rFonts w:ascii="Calibri" w:cs="Calibri" w:eastAsia="Calibri" w:hAnsi="Calibri"/>
          <w:b/>
          <w:bCs/>
          <w:color w:val="14161B"/>
          <w:spacing w:val="12"/>
          <w:sz w:val="28"/>
          <w:szCs w:val="28"/>
        </w:rPr>
        <w:t xml:space="preserve">ISSUANCE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 bill of supply is the correct document for this supply, tested against the table above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is consecutive and unique for the financial year, in a series separate from tax invoices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Supplier name, address and GSTIN stated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Recipient name, address and GSTIN stated where the recipient is registered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HSN or SAC stated at the digit level required for the turnover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Value of supply stated after any discount given at or before the time of supply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 tax is shown anywhere on the document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mandatory declaration applicable to the basis of issue appears on the face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Signature or digital signature affixed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Reported in the return for the correct tax period as an exempt or composition supply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the supplier is under the composition scheme, tax paid at the applicable rate on turnover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Never show tax on a bill of supply</w:t>
      </w:r>
    </w:p>
    <w:p>
      <w:pPr>
        <w:spacing w:after="60" w:line="264"/>
        <w:jc w:val="both"/>
      </w:pPr>
      <w:r>
        <w:rPr>
          <w:rFonts w:ascii="Calibri" w:cs="Calibri" w:eastAsia="Calibri" w:hAnsi="Calibri"/>
          <w:sz w:val="19"/>
          <w:szCs w:val="19"/>
        </w:rPr>
        <w:t xml:space="preserve">This is the defining rule. A composition supplier is not permitted to collect tax from the recipient, and an exempt supply carries no tax to collect. A bill of supply showing a tax amount, or a tax rate column with figures in it, is defective and, in the case of a composition supplier, amounts to collecting tax that may not lawfully be collected.</w:t>
      </w:r>
    </w:p>
    <w:p>
      <w:pPr>
        <w:keepNext/>
        <w:spacing w:after="40" w:before="140"/>
      </w:pPr>
      <w:r>
        <w:rPr>
          <w:rFonts w:ascii="Calibri" w:cs="Calibri" w:eastAsia="Calibri" w:hAnsi="Calibri"/>
          <w:b/>
          <w:bCs/>
          <w:color w:val="14161B"/>
          <w:sz w:val="20"/>
          <w:szCs w:val="20"/>
        </w:rPr>
        <w:t xml:space="preserve">Keep a separate numbering series</w:t>
      </w:r>
    </w:p>
    <w:p>
      <w:pPr>
        <w:spacing w:after="60" w:line="264"/>
        <w:jc w:val="both"/>
      </w:pPr>
      <w:r>
        <w:rPr>
          <w:rFonts w:ascii="Calibri" w:cs="Calibri" w:eastAsia="Calibri" w:hAnsi="Calibri"/>
          <w:sz w:val="19"/>
          <w:szCs w:val="19"/>
        </w:rPr>
        <w:t xml:space="preserve">Bills of supply and tax invoices should be numbered in separate series, each consecutive and unique for the financial year. Mixing them into one sequence makes reconciliation with the returns difficult and makes gaps look like missing invoices.</w:t>
      </w:r>
    </w:p>
    <w:p>
      <w:pPr>
        <w:keepNext/>
        <w:spacing w:after="40" w:before="140"/>
      </w:pPr>
      <w:r>
        <w:rPr>
          <w:rFonts w:ascii="Calibri" w:cs="Calibri" w:eastAsia="Calibri" w:hAnsi="Calibri"/>
          <w:b/>
          <w:bCs/>
          <w:color w:val="14161B"/>
          <w:sz w:val="20"/>
          <w:szCs w:val="20"/>
        </w:rPr>
        <w:t xml:space="preserve">The composition declaration is mandatory</w:t>
      </w:r>
    </w:p>
    <w:p>
      <w:pPr>
        <w:spacing w:after="60" w:line="264"/>
        <w:jc w:val="both"/>
      </w:pPr>
      <w:r>
        <w:rPr>
          <w:rFonts w:ascii="Calibri" w:cs="Calibri" w:eastAsia="Calibri" w:hAnsi="Calibri"/>
          <w:sz w:val="19"/>
          <w:szCs w:val="19"/>
        </w:rPr>
        <w:t xml:space="preserve">A supplier registered under the composition scheme must state, on the face of every bill of supply, that it is a composition taxable person not eligible to collect tax on supplies. Omitting it is a defect that is easy to correct in the template and difficult to explain in an audit.</w:t>
      </w:r>
    </w:p>
    <w:p>
      <w:pPr>
        <w:keepNext/>
        <w:spacing w:after="40" w:before="140"/>
      </w:pPr>
      <w:r>
        <w:rPr>
          <w:rFonts w:ascii="Calibri" w:cs="Calibri" w:eastAsia="Calibri" w:hAnsi="Calibri"/>
          <w:b/>
          <w:bCs/>
          <w:color w:val="14161B"/>
          <w:sz w:val="20"/>
          <w:szCs w:val="20"/>
        </w:rPr>
        <w:t xml:space="preserve">Mixed invoices go on a tax invoice</w:t>
      </w:r>
    </w:p>
    <w:p>
      <w:pPr>
        <w:spacing w:after="60" w:line="264"/>
        <w:jc w:val="both"/>
      </w:pPr>
      <w:r>
        <w:rPr>
          <w:rFonts w:ascii="Calibri" w:cs="Calibri" w:eastAsia="Calibri" w:hAnsi="Calibri"/>
          <w:sz w:val="19"/>
          <w:szCs w:val="19"/>
        </w:rPr>
        <w:t xml:space="preserve">Where a single supply covers both taxable and exempt items, issue a tax invoice covering both, showing the exempt lines at nil rather than issuing two documents. Splitting one transaction across a tax invoice and a bill of supply complicates reconciliation for both parties.</w:t>
      </w:r>
    </w:p>
    <w:p>
      <w:pPr>
        <w:keepNext/>
        <w:spacing w:after="40" w:before="140"/>
      </w:pPr>
      <w:r>
        <w:rPr>
          <w:rFonts w:ascii="Calibri" w:cs="Calibri" w:eastAsia="Calibri" w:hAnsi="Calibri"/>
          <w:b/>
          <w:bCs/>
          <w:color w:val="14161B"/>
          <w:sz w:val="20"/>
          <w:szCs w:val="20"/>
        </w:rPr>
        <w:t xml:space="preserve">Exempt, nil-rated, non-taxable and zero-rated are not the same</w:t>
      </w:r>
    </w:p>
    <w:p>
      <w:pPr>
        <w:spacing w:after="60" w:line="264"/>
        <w:jc w:val="both"/>
      </w:pPr>
      <w:r>
        <w:rPr>
          <w:rFonts w:ascii="Calibri" w:cs="Calibri" w:eastAsia="Calibri" w:hAnsi="Calibri"/>
          <w:sz w:val="19"/>
          <w:szCs w:val="19"/>
        </w:rPr>
        <w:t xml:space="preserve">Exempt and nil-rated supplies use a bill of supply. Non-taxable supplies fall outside the levy. Zero-rated supplies — exports and supplies to a special economic zone — are taxable supplies at a zero rate and require a </w:t>
      </w:r>
      <w:r>
        <w:rPr>
          <w:rFonts w:ascii="Calibri" w:cs="Calibri" w:eastAsia="Calibri" w:hAnsi="Calibri"/>
          <w:b/>
          <w:bCs/>
          <w:sz w:val="19"/>
          <w:szCs w:val="19"/>
        </w:rPr>
        <w:t xml:space="preserve">tax invoice</w:t>
      </w:r>
      <w:r>
        <w:rPr>
          <w:rFonts w:ascii="Calibri" w:cs="Calibri" w:eastAsia="Calibri" w:hAnsi="Calibri"/>
          <w:sz w:val="19"/>
          <w:szCs w:val="19"/>
        </w:rPr>
        <w:t xml:space="preserve"> with the prescribed endorsement, not a bill of supply. Treating an export as exempt and issuing a bill of supply blocks the refund claim.</w:t>
      </w:r>
    </w:p>
    <w:p>
      <w:pPr>
        <w:keepNext/>
        <w:spacing w:after="40" w:before="140"/>
      </w:pPr>
      <w:r>
        <w:rPr>
          <w:rFonts w:ascii="Calibri" w:cs="Calibri" w:eastAsia="Calibri" w:hAnsi="Calibri"/>
          <w:b/>
          <w:bCs/>
          <w:color w:val="14161B"/>
          <w:sz w:val="20"/>
          <w:szCs w:val="20"/>
        </w:rPr>
        <w:t xml:space="preserve">Credit is not available to the recipient</w:t>
      </w:r>
    </w:p>
    <w:p>
      <w:pPr>
        <w:spacing w:after="60" w:line="264"/>
        <w:jc w:val="both"/>
      </w:pPr>
      <w:r>
        <w:rPr>
          <w:rFonts w:ascii="Calibri" w:cs="Calibri" w:eastAsia="Calibri" w:hAnsi="Calibri"/>
          <w:sz w:val="19"/>
          <w:szCs w:val="19"/>
        </w:rPr>
        <w:t xml:space="preserve">The recipient cannot claim input tax credit against a bill of supply, because no tax has been charged. Recipients occasionally attempt it. Stating the position on the document, as the declaration does, prevents the argument.</w:t>
      </w:r>
    </w:p>
    <w:p>
      <w:pPr>
        <w:keepNext/>
        <w:spacing w:after="40" w:before="140"/>
      </w:pPr>
      <w:r>
        <w:rPr>
          <w:rFonts w:ascii="Calibri" w:cs="Calibri" w:eastAsia="Calibri" w:hAnsi="Calibri"/>
          <w:b/>
          <w:bCs/>
          <w:color w:val="14161B"/>
          <w:sz w:val="20"/>
          <w:szCs w:val="20"/>
        </w:rPr>
        <w:t xml:space="preserve">Composition suppliers have their own constraints</w:t>
      </w:r>
    </w:p>
    <w:p>
      <w:pPr>
        <w:spacing w:after="60" w:line="264"/>
        <w:jc w:val="both"/>
      </w:pPr>
      <w:r>
        <w:rPr>
          <w:rFonts w:ascii="Calibri" w:cs="Calibri" w:eastAsia="Calibri" w:hAnsi="Calibri"/>
          <w:sz w:val="19"/>
          <w:szCs w:val="19"/>
        </w:rPr>
        <w:t xml:space="preserve">A supplier under the composition scheme pays tax at the applicable rate on turnover, cannot claim input tax credit, cannot make inter-State outward supplies of goods, and is subject to a turnover limit above which the scheme ceases to be available. Crossing the limit means moving to the normal scheme and issuing tax invoices from that point. Track turnover against the limit rather than discovering it at year end.</w:t>
      </w:r>
    </w:p>
    <w:p>
      <w:pPr>
        <w:keepNext/>
        <w:spacing w:after="40" w:before="140"/>
      </w:pPr>
      <w:r>
        <w:rPr>
          <w:rFonts w:ascii="Calibri" w:cs="Calibri" w:eastAsia="Calibri" w:hAnsi="Calibri"/>
          <w:b/>
          <w:bCs/>
          <w:color w:val="14161B"/>
          <w:sz w:val="20"/>
          <w:szCs w:val="20"/>
        </w:rPr>
        <w:t xml:space="preserve">Small-value relaxation</w:t>
      </w:r>
    </w:p>
    <w:p>
      <w:pPr>
        <w:spacing w:after="60" w:line="264"/>
        <w:jc w:val="both"/>
      </w:pPr>
      <w:r>
        <w:rPr>
          <w:rFonts w:ascii="Calibri" w:cs="Calibri" w:eastAsia="Calibri" w:hAnsi="Calibri"/>
          <w:sz w:val="19"/>
          <w:szCs w:val="19"/>
        </w:rPr>
        <w:t xml:space="preserve">Where the value of a supply is below the prescribed threshold and the recipient is unregistered and does not require the document, a bill of supply need not be issued for each supply, subject to a consolidated document being issued at the close of the day. Confirm the current threshold and the conditions before relying on the relaxation.</w:t>
      </w:r>
    </w:p>
    <w:p>
      <w:pPr>
        <w:keepNext/>
        <w:spacing w:after="40" w:before="140"/>
      </w:pPr>
      <w:r>
        <w:rPr>
          <w:rFonts w:ascii="Calibri" w:cs="Calibri" w:eastAsia="Calibri" w:hAnsi="Calibri"/>
          <w:b/>
          <w:bCs/>
          <w:color w:val="14161B"/>
          <w:sz w:val="20"/>
          <w:szCs w:val="20"/>
        </w:rPr>
        <w:t xml:space="preserve">Report it in the return</w:t>
      </w:r>
    </w:p>
    <w:p>
      <w:pPr>
        <w:spacing w:after="60" w:line="264"/>
        <w:jc w:val="both"/>
      </w:pPr>
      <w:r>
        <w:rPr>
          <w:rFonts w:ascii="Calibri" w:cs="Calibri" w:eastAsia="Calibri" w:hAnsi="Calibri"/>
          <w:sz w:val="19"/>
          <w:szCs w:val="19"/>
        </w:rPr>
        <w:t xml:space="preserve">Exempt and composition supplies are reported in the returns, in their own fields. A supplier that issues bills of supply but reports nothing produces a mismatch between the documents and the return, which is exactly what reconciliation exercises pick up.</w:t>
      </w:r>
    </w:p>
    <w:p>
      <w:pPr>
        <w:keepNext/>
        <w:spacing w:after="40" w:before="140"/>
      </w:pPr>
      <w:r>
        <w:rPr>
          <w:rFonts w:ascii="Calibri" w:cs="Calibri" w:eastAsia="Calibri" w:hAnsi="Calibri"/>
          <w:b/>
          <w:bCs/>
          <w:color w:val="14161B"/>
          <w:sz w:val="20"/>
          <w:szCs w:val="20"/>
        </w:rPr>
        <w:t xml:space="preserve">Micro and small enterprise payment terms still apply</w:t>
      </w:r>
    </w:p>
    <w:p>
      <w:pPr>
        <w:spacing w:after="60" w:line="264"/>
        <w:jc w:val="both"/>
      </w:pPr>
      <w:r>
        <w:rPr>
          <w:rFonts w:ascii="Calibri" w:cs="Calibri" w:eastAsia="Calibri" w:hAnsi="Calibri"/>
          <w:sz w:val="19"/>
          <w:szCs w:val="19"/>
        </w:rPr>
        <w:t xml:space="preserve">The statutory payment timeline for a registered micro or small enterprise supplier applies whether the document is a tax invoice or a bill of supply. State the registration so the buyer knows the position.</w:t>
      </w:r>
    </w:p>
    <w:p>
      <w:pPr>
        <w:keepNext/>
        <w:spacing w:after="40" w:before="140"/>
      </w:pPr>
      <w:r>
        <w:rPr>
          <w:rFonts w:ascii="Calibri" w:cs="Calibri" w:eastAsia="Calibri" w:hAnsi="Calibri"/>
          <w:b/>
          <w:bCs/>
          <w:color w:val="14161B"/>
          <w:sz w:val="20"/>
          <w:szCs w:val="20"/>
        </w:rPr>
        <w:t xml:space="preserve">Corrections by credit or debit note</w:t>
      </w:r>
    </w:p>
    <w:p>
      <w:pPr>
        <w:spacing w:after="60" w:line="264"/>
        <w:jc w:val="both"/>
      </w:pPr>
      <w:r>
        <w:rPr>
          <w:rFonts w:ascii="Calibri" w:cs="Calibri" w:eastAsia="Calibri" w:hAnsi="Calibri"/>
          <w:sz w:val="19"/>
          <w:szCs w:val="19"/>
        </w:rPr>
        <w:t xml:space="preserve">A bill of supply already issued is corrected by a credit or debit note referencing it, not by editing or reissuing. The note carries its own particulars and its own numbering.</w:t>
      </w:r>
    </w:p>
    <w:p>
      <w:pPr>
        <w:keepNext/>
        <w:spacing w:after="40" w:before="140"/>
      </w:pPr>
      <w:r>
        <w:rPr>
          <w:rFonts w:ascii="Calibri" w:cs="Calibri" w:eastAsia="Calibri" w:hAnsi="Calibri"/>
          <w:b/>
          <w:bCs/>
          <w:color w:val="14161B"/>
          <w:sz w:val="20"/>
          <w:szCs w:val="20"/>
        </w:rPr>
        <w:t xml:space="preserve">Retention</w:t>
      </w:r>
    </w:p>
    <w:p>
      <w:pPr>
        <w:spacing w:after="60" w:line="264"/>
        <w:jc w:val="both"/>
      </w:pPr>
      <w:r>
        <w:rPr>
          <w:rFonts w:ascii="Calibri" w:cs="Calibri" w:eastAsia="Calibri" w:hAnsi="Calibri"/>
          <w:sz w:val="19"/>
          <w:szCs w:val="19"/>
        </w:rPr>
        <w:t xml:space="preserve">Bills of supply and the underlying records must be retained for the period prescribed, and longer where any proceeding is pending.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tax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composition turnover limit and rates, exemption notifications, HSN digit requirements and the small-value relaxation all change — have the template and the accounting configuration reviewed by a tax adviser, and reconfirm whenever the exemption position or the scheme registration changes.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2026-08-21T12:53:55.588Z</dcterms:created>
  <dcterms:modified xsi:type="dcterms:W3CDTF">2026-08-21T12:53:55.588Z</dcterms:modified>
</cp:coreProperties>
</file>

<file path=docProps/custom.xml><?xml version="1.0" encoding="utf-8"?>
<Properties xmlns="http://schemas.openxmlformats.org/officeDocument/2006/custom-properties" xmlns:vt="http://schemas.openxmlformats.org/officeDocument/2006/docPropsVTypes"/>
</file>